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6E" w:rsidRPr="00440B3E" w:rsidRDefault="00D32C5A" w:rsidP="00B43B81">
      <w:pPr>
        <w:jc w:val="center"/>
        <w:rPr>
          <w:spacing w:val="20"/>
          <w:sz w:val="22"/>
          <w:szCs w:val="22"/>
        </w:rPr>
      </w:pPr>
      <w:r w:rsidRPr="00D32C5A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589182314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851869" w:rsidRPr="001D1973" w:rsidRDefault="00851869" w:rsidP="00851869">
      <w:pPr>
        <w:jc w:val="both"/>
        <w:rPr>
          <w:sz w:val="28"/>
          <w:szCs w:val="28"/>
        </w:rPr>
      </w:pPr>
    </w:p>
    <w:p w:rsidR="001D1973" w:rsidRDefault="001D1973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D32C5A" w:rsidP="00B43B81">
      <w:pPr>
        <w:pStyle w:val="210"/>
        <w:jc w:val="center"/>
        <w:rPr>
          <w:rFonts w:cs="Times New Roman"/>
          <w:b/>
          <w:szCs w:val="28"/>
        </w:rPr>
      </w:pPr>
      <w:r w:rsidRPr="00D32C5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4E71CC" w:rsidRDefault="004E71CC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4E71CC" w:rsidRPr="00764AA3" w:rsidRDefault="004E71CC" w:rsidP="00851869">
                  <w:pPr>
                    <w:spacing w:before="200"/>
                    <w:rPr>
                      <w:sz w:val="28"/>
                    </w:rPr>
                  </w:pPr>
                </w:p>
                <w:p w:rsidR="004E71CC" w:rsidRDefault="004E71CC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</w:p>
    <w:p w:rsidR="00A873DB" w:rsidRDefault="008855DE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нормативных затрат на</w:t>
      </w:r>
      <w:r w:rsidR="00A873DB">
        <w:rPr>
          <w:b/>
          <w:bCs/>
          <w:sz w:val="28"/>
          <w:szCs w:val="28"/>
        </w:rPr>
        <w:t xml:space="preserve"> </w:t>
      </w:r>
      <w:r w:rsidR="00A873DB" w:rsidRPr="00477B26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е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77B26">
        <w:rPr>
          <w:b/>
          <w:bCs/>
          <w:sz w:val="28"/>
          <w:szCs w:val="28"/>
        </w:rPr>
        <w:t xml:space="preserve">функций </w:t>
      </w:r>
      <w:r>
        <w:rPr>
          <w:b/>
          <w:sz w:val="28"/>
          <w:szCs w:val="28"/>
        </w:rPr>
        <w:t xml:space="preserve">управления </w:t>
      </w:r>
      <w:r w:rsidRPr="00EF192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физической </w:t>
      </w:r>
      <w:r w:rsidRPr="00EF192C">
        <w:rPr>
          <w:b/>
          <w:sz w:val="28"/>
          <w:szCs w:val="28"/>
        </w:rPr>
        <w:t>культуре</w:t>
      </w:r>
      <w:r>
        <w:rPr>
          <w:b/>
          <w:sz w:val="28"/>
          <w:szCs w:val="28"/>
        </w:rPr>
        <w:t xml:space="preserve"> и спорту 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F192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EF19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EF192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EF192C">
        <w:rPr>
          <w:b/>
          <w:sz w:val="28"/>
          <w:szCs w:val="28"/>
        </w:rPr>
        <w:t>«Город Саратов»</w:t>
      </w:r>
      <w:r>
        <w:rPr>
          <w:b/>
          <w:sz w:val="28"/>
          <w:szCs w:val="28"/>
        </w:rPr>
        <w:t>,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77B26">
        <w:rPr>
          <w:b/>
          <w:bCs/>
          <w:sz w:val="28"/>
          <w:szCs w:val="28"/>
        </w:rPr>
        <w:t>применяемых при расчете нормативных затрат</w:t>
      </w:r>
    </w:p>
    <w:p w:rsidR="00A873DB" w:rsidRPr="0012313A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(включая </w:t>
      </w:r>
      <w:r w:rsidRPr="0012313A">
        <w:rPr>
          <w:b/>
          <w:sz w:val="28"/>
          <w:szCs w:val="28"/>
        </w:rPr>
        <w:t>подведомственные казенные учреждения)</w:t>
      </w:r>
      <w:r w:rsidR="004E71CC">
        <w:rPr>
          <w:b/>
          <w:sz w:val="28"/>
          <w:szCs w:val="28"/>
        </w:rPr>
        <w:t xml:space="preserve"> на 2019</w:t>
      </w:r>
      <w:r w:rsidR="00FE7E2D">
        <w:rPr>
          <w:b/>
          <w:sz w:val="28"/>
          <w:szCs w:val="28"/>
        </w:rPr>
        <w:t xml:space="preserve"> год</w:t>
      </w:r>
    </w:p>
    <w:p w:rsidR="00A873DB" w:rsidRPr="003006DF" w:rsidRDefault="00A873DB" w:rsidP="00A873DB">
      <w:pPr>
        <w:jc w:val="center"/>
        <w:rPr>
          <w:sz w:val="28"/>
          <w:szCs w:val="28"/>
        </w:rPr>
      </w:pP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>В соответствии част</w:t>
      </w:r>
      <w:r>
        <w:rPr>
          <w:rFonts w:ascii="Times New Roman" w:hAnsi="Times New Roman"/>
          <w:sz w:val="28"/>
          <w:szCs w:val="28"/>
        </w:rPr>
        <w:t>ью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06DF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п</w:t>
      </w:r>
      <w:r w:rsidRPr="003006D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/>
          <w:sz w:val="28"/>
          <w:szCs w:val="28"/>
        </w:rPr>
        <w:t>ода</w:t>
      </w:r>
      <w:r w:rsidRPr="003006DF">
        <w:rPr>
          <w:rFonts w:ascii="Times New Roman" w:hAnsi="Times New Roman"/>
          <w:sz w:val="28"/>
          <w:szCs w:val="28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420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4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>
        <w:rPr>
          <w:rFonts w:ascii="Times New Roman" w:hAnsi="Times New Roman" w:cs="Times New Roman"/>
          <w:sz w:val="28"/>
          <w:szCs w:val="28"/>
        </w:rPr>
        <w:t>«Об установлении П</w:t>
      </w:r>
      <w:r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0" w:name="OLE_LINK4"/>
      <w:bookmarkStart w:id="1" w:name="OLE_LINK5"/>
      <w:r w:rsidRPr="00935420">
        <w:rPr>
          <w:rFonts w:ascii="Times New Roman" w:hAnsi="Times New Roman" w:cs="Times New Roman"/>
          <w:sz w:val="28"/>
          <w:szCs w:val="28"/>
        </w:rPr>
        <w:t>(включая</w:t>
      </w:r>
      <w:proofErr w:type="gramEnd"/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r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»</w:t>
      </w: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A873DB" w:rsidRDefault="00A873DB" w:rsidP="00A873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3D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855DE" w:rsidRDefault="00A873DB" w:rsidP="00A8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1. Утвердить</w:t>
      </w:r>
      <w:r w:rsidR="008855DE">
        <w:rPr>
          <w:rFonts w:ascii="Times New Roman" w:hAnsi="Times New Roman" w:cs="Times New Roman"/>
          <w:sz w:val="28"/>
          <w:szCs w:val="28"/>
        </w:rPr>
        <w:t>:</w:t>
      </w:r>
    </w:p>
    <w:p w:rsidR="008855DE" w:rsidRDefault="008855DE" w:rsidP="00A8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расчета нормативных затрат, </w:t>
      </w:r>
      <w:r w:rsidR="00726D54">
        <w:rPr>
          <w:rFonts w:ascii="Times New Roman" w:hAnsi="Times New Roman" w:cs="Times New Roman"/>
          <w:sz w:val="28"/>
          <w:szCs w:val="28"/>
        </w:rPr>
        <w:t xml:space="preserve">для </w:t>
      </w:r>
      <w:r w:rsidR="00726D54" w:rsidRPr="00477B26">
        <w:rPr>
          <w:rFonts w:ascii="Times New Roman" w:hAnsi="Times New Roman" w:cs="Times New Roman"/>
          <w:sz w:val="28"/>
          <w:szCs w:val="28"/>
        </w:rPr>
        <w:t xml:space="preserve">обеспечения функций управления по </w:t>
      </w:r>
      <w:r w:rsidR="00726D54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726D54" w:rsidRPr="00477B26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726D54"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="00726D54" w:rsidRPr="00477B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 w:rsidR="00726D54">
        <w:rPr>
          <w:rFonts w:ascii="Times New Roman" w:hAnsi="Times New Roman" w:cs="Times New Roman"/>
          <w:sz w:val="28"/>
          <w:szCs w:val="28"/>
        </w:rPr>
        <w:t xml:space="preserve"> </w:t>
      </w:r>
      <w:r w:rsidR="00B24821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B24821">
        <w:rPr>
          <w:rFonts w:ascii="Times New Roman" w:hAnsi="Times New Roman" w:cs="Times New Roman"/>
          <w:sz w:val="28"/>
          <w:szCs w:val="28"/>
        </w:rPr>
        <w:t>е</w:t>
      </w:r>
      <w:r w:rsidR="00B24821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B24821">
        <w:rPr>
          <w:rFonts w:ascii="Times New Roman" w:hAnsi="Times New Roman" w:cs="Times New Roman"/>
          <w:sz w:val="28"/>
          <w:szCs w:val="28"/>
        </w:rPr>
        <w:t xml:space="preserve">казенные учреждения) </w:t>
      </w:r>
      <w:r>
        <w:rPr>
          <w:rFonts w:ascii="Times New Roman" w:hAnsi="Times New Roman" w:cs="Times New Roman"/>
          <w:sz w:val="28"/>
          <w:szCs w:val="28"/>
        </w:rPr>
        <w:t xml:space="preserve">для которых правилами определения нормативных затрат </w:t>
      </w:r>
      <w:r w:rsidR="00B24821">
        <w:rPr>
          <w:rFonts w:ascii="Times New Roman" w:hAnsi="Times New Roman" w:cs="Times New Roman"/>
          <w:sz w:val="28"/>
          <w:szCs w:val="28"/>
        </w:rPr>
        <w:t xml:space="preserve">на обеспечение функций муниципальных органов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>не установлен порядок расчета</w:t>
      </w:r>
      <w:r w:rsidR="00B2482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B248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3DB" w:rsidRPr="00477B26" w:rsidRDefault="008855DE" w:rsidP="00A8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3DB" w:rsidRPr="00477B26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873DB" w:rsidRPr="00BB2848">
        <w:rPr>
          <w:rFonts w:ascii="Times New Roman" w:hAnsi="Times New Roman" w:cs="Times New Roman"/>
          <w:sz w:val="28"/>
          <w:szCs w:val="28"/>
        </w:rPr>
        <w:t xml:space="preserve">количества и (или) цены товаров, работ, услуг, в том числе </w:t>
      </w:r>
      <w:r w:rsidR="00A873DB" w:rsidRPr="00BB2848">
        <w:rPr>
          <w:rFonts w:ascii="Times New Roman" w:hAnsi="Times New Roman" w:cs="Times New Roman"/>
          <w:sz w:val="28"/>
          <w:szCs w:val="28"/>
        </w:rPr>
        <w:lastRenderedPageBreak/>
        <w:t xml:space="preserve">сгруппированные </w:t>
      </w:r>
      <w:r>
        <w:rPr>
          <w:rFonts w:ascii="Times New Roman" w:hAnsi="Times New Roman" w:cs="Times New Roman"/>
          <w:sz w:val="28"/>
          <w:szCs w:val="28"/>
        </w:rPr>
        <w:t>должностям работников и (или) категориям должностей работников</w:t>
      </w:r>
      <w:r w:rsidR="00A873DB" w:rsidRPr="00BB2848">
        <w:rPr>
          <w:rFonts w:ascii="Times New Roman" w:hAnsi="Times New Roman" w:cs="Times New Roman"/>
          <w:sz w:val="28"/>
          <w:szCs w:val="28"/>
        </w:rPr>
        <w:t xml:space="preserve"> </w:t>
      </w:r>
      <w:r w:rsidR="00A873DB">
        <w:rPr>
          <w:rFonts w:ascii="Times New Roman" w:hAnsi="Times New Roman" w:cs="Times New Roman"/>
          <w:sz w:val="28"/>
          <w:szCs w:val="28"/>
        </w:rPr>
        <w:t xml:space="preserve">для </w:t>
      </w:r>
      <w:r w:rsidR="00A873DB" w:rsidRPr="00477B26">
        <w:rPr>
          <w:rFonts w:ascii="Times New Roman" w:hAnsi="Times New Roman" w:cs="Times New Roman"/>
          <w:sz w:val="28"/>
          <w:szCs w:val="28"/>
        </w:rPr>
        <w:t xml:space="preserve">обеспечения функций 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873DB" w:rsidRPr="00477B26">
        <w:rPr>
          <w:rFonts w:ascii="Times New Roman" w:hAnsi="Times New Roman" w:cs="Times New Roman"/>
          <w:sz w:val="28"/>
          <w:szCs w:val="28"/>
        </w:rPr>
        <w:t xml:space="preserve">культуре </w:t>
      </w:r>
      <w:r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="00A873DB" w:rsidRPr="00477B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 w:rsidR="00A873DB">
        <w:rPr>
          <w:rFonts w:ascii="Times New Roman" w:hAnsi="Times New Roman" w:cs="Times New Roman"/>
          <w:sz w:val="28"/>
          <w:szCs w:val="28"/>
        </w:rPr>
        <w:t xml:space="preserve"> </w:t>
      </w:r>
      <w:r w:rsidR="00A873DB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A873DB">
        <w:rPr>
          <w:rFonts w:ascii="Times New Roman" w:hAnsi="Times New Roman" w:cs="Times New Roman"/>
          <w:sz w:val="28"/>
          <w:szCs w:val="28"/>
        </w:rPr>
        <w:t>е</w:t>
      </w:r>
      <w:r w:rsidR="00A873DB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A873DB">
        <w:rPr>
          <w:rFonts w:ascii="Times New Roman" w:hAnsi="Times New Roman" w:cs="Times New Roman"/>
          <w:sz w:val="28"/>
          <w:szCs w:val="28"/>
        </w:rPr>
        <w:t>казенные учреждения)</w:t>
      </w:r>
      <w:r w:rsidR="00B24821">
        <w:rPr>
          <w:rFonts w:ascii="Times New Roman" w:hAnsi="Times New Roman" w:cs="Times New Roman"/>
          <w:sz w:val="28"/>
          <w:szCs w:val="28"/>
        </w:rPr>
        <w:t xml:space="preserve"> (</w:t>
      </w:r>
      <w:r w:rsidR="00A873DB">
        <w:rPr>
          <w:rFonts w:ascii="Times New Roman" w:hAnsi="Times New Roman" w:cs="Times New Roman"/>
          <w:sz w:val="28"/>
          <w:szCs w:val="28"/>
        </w:rPr>
        <w:t>приложени</w:t>
      </w:r>
      <w:r w:rsidR="00B24821">
        <w:rPr>
          <w:rFonts w:ascii="Times New Roman" w:hAnsi="Times New Roman" w:cs="Times New Roman"/>
          <w:sz w:val="28"/>
          <w:szCs w:val="28"/>
        </w:rPr>
        <w:t>е</w:t>
      </w:r>
      <w:r w:rsidR="00A8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B24821">
        <w:rPr>
          <w:rFonts w:ascii="Times New Roman" w:hAnsi="Times New Roman" w:cs="Times New Roman"/>
          <w:sz w:val="28"/>
          <w:szCs w:val="28"/>
        </w:rPr>
        <w:t>)</w:t>
      </w:r>
      <w:r w:rsidR="00A873DB">
        <w:rPr>
          <w:rFonts w:ascii="Times New Roman" w:hAnsi="Times New Roman" w:cs="Times New Roman"/>
          <w:sz w:val="28"/>
          <w:szCs w:val="28"/>
        </w:rPr>
        <w:t>.</w:t>
      </w:r>
    </w:p>
    <w:p w:rsidR="00A873DB" w:rsidRDefault="00A873DB" w:rsidP="00A8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3A">
        <w:rPr>
          <w:rFonts w:ascii="Times New Roman" w:hAnsi="Times New Roman" w:cs="Times New Roman"/>
          <w:sz w:val="28"/>
          <w:szCs w:val="28"/>
        </w:rPr>
        <w:t xml:space="preserve">2. Контрактному управляющему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и спорту администрации муниципального образования «Город Саратов» </w:t>
      </w:r>
      <w:r w:rsidRPr="0012313A">
        <w:rPr>
          <w:rFonts w:ascii="Times New Roman" w:hAnsi="Times New Roman" w:cs="Times New Roman"/>
          <w:sz w:val="28"/>
          <w:szCs w:val="28"/>
        </w:rPr>
        <w:t>обеспечивать пересмотр нормативов не реже одного раза в год.</w:t>
      </w:r>
    </w:p>
    <w:p w:rsidR="00A873DB" w:rsidRPr="009F549A" w:rsidRDefault="00A873DB" w:rsidP="00A873D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приказ управления по физической </w:t>
      </w:r>
      <w:r w:rsidRPr="00F57843">
        <w:rPr>
          <w:rFonts w:ascii="Times New Roman" w:hAnsi="Times New Roman"/>
          <w:sz w:val="28"/>
          <w:szCs w:val="28"/>
        </w:rPr>
        <w:t xml:space="preserve">культуре </w:t>
      </w:r>
      <w:r>
        <w:rPr>
          <w:rFonts w:ascii="Times New Roman" w:hAnsi="Times New Roman"/>
          <w:sz w:val="28"/>
          <w:szCs w:val="28"/>
        </w:rPr>
        <w:t xml:space="preserve">и спорту </w:t>
      </w:r>
      <w:r w:rsidRPr="00F57843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C80">
        <w:rPr>
          <w:rFonts w:ascii="Times New Roman" w:hAnsi="Times New Roman"/>
          <w:sz w:val="28"/>
          <w:szCs w:val="28"/>
        </w:rPr>
        <w:t xml:space="preserve">от </w:t>
      </w:r>
      <w:r w:rsidR="004E71CC">
        <w:rPr>
          <w:rFonts w:ascii="Times New Roman" w:hAnsi="Times New Roman"/>
          <w:sz w:val="28"/>
          <w:szCs w:val="28"/>
        </w:rPr>
        <w:t xml:space="preserve">27 апреля </w:t>
      </w:r>
      <w:r>
        <w:rPr>
          <w:rFonts w:ascii="Times New Roman" w:hAnsi="Times New Roman"/>
          <w:sz w:val="28"/>
          <w:szCs w:val="28"/>
        </w:rPr>
        <w:t>201</w:t>
      </w:r>
      <w:r w:rsidR="004E71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E71CC">
        <w:rPr>
          <w:rFonts w:ascii="Times New Roman" w:hAnsi="Times New Roman"/>
          <w:sz w:val="28"/>
          <w:szCs w:val="28"/>
        </w:rPr>
        <w:t>20</w:t>
      </w:r>
      <w:r w:rsidRPr="00B74C80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нормативных затрат на обеспечение функций управления по физической культуре и спорту администрации муницип</w:t>
      </w:r>
      <w:r w:rsidRPr="009F549A">
        <w:rPr>
          <w:rFonts w:ascii="Times New Roman" w:hAnsi="Times New Roman"/>
          <w:sz w:val="28"/>
          <w:szCs w:val="28"/>
        </w:rPr>
        <w:t>ально</w:t>
      </w:r>
      <w:r>
        <w:rPr>
          <w:rFonts w:ascii="Times New Roman" w:hAnsi="Times New Roman"/>
          <w:sz w:val="28"/>
          <w:szCs w:val="28"/>
        </w:rPr>
        <w:t>го образования «Город Саратов»</w:t>
      </w:r>
      <w:r w:rsidR="004E71CC">
        <w:rPr>
          <w:rFonts w:ascii="Times New Roman" w:hAnsi="Times New Roman"/>
          <w:sz w:val="28"/>
          <w:szCs w:val="28"/>
        </w:rPr>
        <w:t>, применяемых при расчете нормативных затрат (включая подведомственные казенные учреждения) на 2018 год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873DB" w:rsidRDefault="00A873DB" w:rsidP="00A873DB">
      <w:pPr>
        <w:rPr>
          <w:b/>
          <w:sz w:val="28"/>
          <w:lang w:eastAsia="ru-RU"/>
        </w:rPr>
      </w:pPr>
    </w:p>
    <w:p w:rsidR="00A873DB" w:rsidRDefault="00A873DB" w:rsidP="00A873DB">
      <w:pPr>
        <w:rPr>
          <w:b/>
          <w:sz w:val="28"/>
          <w:lang w:eastAsia="ru-RU"/>
        </w:rPr>
      </w:pPr>
    </w:p>
    <w:p w:rsidR="00A873DB" w:rsidRDefault="00A873DB" w:rsidP="00A873DB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</w:t>
      </w:r>
      <w:r w:rsidRPr="00CD5F09">
        <w:rPr>
          <w:b/>
          <w:sz w:val="28"/>
          <w:lang w:eastAsia="ru-RU"/>
        </w:rPr>
        <w:t>ачальник  управления</w:t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  <w:t xml:space="preserve">                 </w:t>
      </w:r>
      <w:r>
        <w:rPr>
          <w:b/>
          <w:sz w:val="28"/>
          <w:lang w:eastAsia="ru-RU"/>
        </w:rPr>
        <w:t xml:space="preserve">         Н.В. Кузнецов</w:t>
      </w:r>
    </w:p>
    <w:p w:rsidR="00A873DB" w:rsidRDefault="00A873DB" w:rsidP="00A873DB">
      <w:pPr>
        <w:jc w:val="right"/>
        <w:rPr>
          <w:b/>
          <w:sz w:val="28"/>
          <w:lang w:eastAsia="ru-RU"/>
        </w:rPr>
      </w:pPr>
    </w:p>
    <w:p w:rsidR="00A873DB" w:rsidRDefault="00A873DB" w:rsidP="00A873DB">
      <w:pPr>
        <w:jc w:val="right"/>
        <w:rPr>
          <w:b/>
          <w:sz w:val="28"/>
          <w:lang w:eastAsia="ru-RU"/>
        </w:rPr>
      </w:pPr>
    </w:p>
    <w:p w:rsidR="00A873DB" w:rsidRDefault="00A873DB" w:rsidP="00A873DB">
      <w:pPr>
        <w:jc w:val="right"/>
        <w:rPr>
          <w:b/>
          <w:sz w:val="28"/>
          <w:lang w:eastAsia="ru-RU"/>
        </w:rPr>
      </w:pPr>
    </w:p>
    <w:p w:rsidR="00A873DB" w:rsidRDefault="00A873DB" w:rsidP="00A873DB">
      <w:pPr>
        <w:jc w:val="right"/>
        <w:rPr>
          <w:b/>
          <w:sz w:val="28"/>
          <w:lang w:eastAsia="ru-RU"/>
        </w:rPr>
      </w:pPr>
    </w:p>
    <w:p w:rsidR="00A873DB" w:rsidRPr="00993D26" w:rsidRDefault="00A873DB" w:rsidP="00A873DB">
      <w:pPr>
        <w:rPr>
          <w:strike/>
          <w:highlight w:val="yellow"/>
        </w:rPr>
      </w:pPr>
    </w:p>
    <w:p w:rsidR="00A873DB" w:rsidRDefault="00A873DB" w:rsidP="00A873DB">
      <w:pPr>
        <w:jc w:val="right"/>
        <w:rPr>
          <w:b/>
          <w:sz w:val="28"/>
          <w:lang w:eastAsia="ru-RU"/>
        </w:rPr>
        <w:sectPr w:rsidR="00A873DB" w:rsidSect="00A873DB">
          <w:headerReference w:type="first" r:id="rId9"/>
          <w:pgSz w:w="11906" w:h="16838" w:code="9"/>
          <w:pgMar w:top="993" w:right="851" w:bottom="1418" w:left="1701" w:header="709" w:footer="0" w:gutter="0"/>
          <w:cols w:space="708"/>
          <w:titlePg/>
          <w:docGrid w:linePitch="360"/>
        </w:sectPr>
      </w:pPr>
    </w:p>
    <w:p w:rsidR="00B24821" w:rsidRPr="00E070F0" w:rsidRDefault="00A873DB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lastRenderedPageBreak/>
        <w:t xml:space="preserve">Приложение </w:t>
      </w:r>
      <w:r w:rsidR="00B24821" w:rsidRPr="00E070F0">
        <w:rPr>
          <w:sz w:val="24"/>
          <w:szCs w:val="24"/>
        </w:rPr>
        <w:t>№ 1</w:t>
      </w:r>
    </w:p>
    <w:p w:rsidR="00B24821" w:rsidRPr="00E070F0" w:rsidRDefault="00A873DB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t>к приказу управления</w:t>
      </w:r>
    </w:p>
    <w:p w:rsidR="00A873DB" w:rsidRPr="00E070F0" w:rsidRDefault="00A873DB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t xml:space="preserve">по </w:t>
      </w:r>
      <w:r w:rsidR="00B24821" w:rsidRPr="00E070F0">
        <w:rPr>
          <w:sz w:val="24"/>
          <w:szCs w:val="24"/>
        </w:rPr>
        <w:t>физической ку</w:t>
      </w:r>
      <w:r w:rsidRPr="00E070F0">
        <w:rPr>
          <w:sz w:val="24"/>
          <w:szCs w:val="24"/>
        </w:rPr>
        <w:t>льтуре</w:t>
      </w:r>
    </w:p>
    <w:p w:rsidR="00A873DB" w:rsidRPr="00E070F0" w:rsidRDefault="00B24821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t>и спорту</w:t>
      </w:r>
      <w:r w:rsidR="00A873DB" w:rsidRPr="00E070F0">
        <w:rPr>
          <w:sz w:val="24"/>
          <w:szCs w:val="24"/>
        </w:rPr>
        <w:t xml:space="preserve"> администрации муниципального образования</w:t>
      </w:r>
    </w:p>
    <w:p w:rsidR="00B24821" w:rsidRPr="00E070F0" w:rsidRDefault="00A873DB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t>«Город Саратов»</w:t>
      </w:r>
      <w:r w:rsidR="00B24821" w:rsidRPr="00E070F0">
        <w:rPr>
          <w:sz w:val="24"/>
          <w:szCs w:val="24"/>
        </w:rPr>
        <w:t xml:space="preserve"> </w:t>
      </w:r>
    </w:p>
    <w:p w:rsidR="00A873DB" w:rsidRPr="00E070F0" w:rsidRDefault="00B24821" w:rsidP="00B24821">
      <w:pPr>
        <w:ind w:left="5103"/>
        <w:jc w:val="right"/>
        <w:rPr>
          <w:sz w:val="24"/>
          <w:szCs w:val="24"/>
        </w:rPr>
      </w:pPr>
      <w:proofErr w:type="spellStart"/>
      <w:r w:rsidRPr="00E070F0">
        <w:rPr>
          <w:sz w:val="24"/>
          <w:szCs w:val="24"/>
        </w:rPr>
        <w:t>от____________№</w:t>
      </w:r>
      <w:proofErr w:type="spellEnd"/>
      <w:r w:rsidRPr="00E070F0">
        <w:rPr>
          <w:sz w:val="24"/>
          <w:szCs w:val="24"/>
        </w:rPr>
        <w:t>___</w:t>
      </w:r>
    </w:p>
    <w:p w:rsidR="00A873DB" w:rsidRDefault="00A873DB" w:rsidP="00A873DB">
      <w:pPr>
        <w:jc w:val="center"/>
        <w:rPr>
          <w:b/>
          <w:sz w:val="28"/>
          <w:szCs w:val="28"/>
        </w:rPr>
      </w:pPr>
    </w:p>
    <w:p w:rsidR="00E070F0" w:rsidRPr="00E070F0" w:rsidRDefault="00E070F0" w:rsidP="00A873DB">
      <w:pPr>
        <w:jc w:val="center"/>
        <w:rPr>
          <w:b/>
          <w:sz w:val="28"/>
          <w:szCs w:val="28"/>
        </w:rPr>
      </w:pPr>
    </w:p>
    <w:p w:rsidR="00B24821" w:rsidRPr="00E070F0" w:rsidRDefault="00B24821" w:rsidP="00A873DB">
      <w:pPr>
        <w:jc w:val="center"/>
        <w:rPr>
          <w:b/>
          <w:sz w:val="28"/>
          <w:szCs w:val="28"/>
        </w:rPr>
      </w:pPr>
      <w:r w:rsidRPr="00E070F0">
        <w:rPr>
          <w:rFonts w:cs="Times New Roman"/>
          <w:b/>
          <w:sz w:val="28"/>
          <w:szCs w:val="28"/>
        </w:rPr>
        <w:t>Порядок расчета нормативных затрат для обеспечения функций управления по физической культуре и спорту администрации муниципального образования «Город Саратов» (включая подведомственные казенные учреждения) для которых правилами определения нормативных затрат на обеспечение функций муниципальных органов муниципального образования «Город Саратов» не установлен порядок расчета</w:t>
      </w:r>
    </w:p>
    <w:p w:rsidR="00B24821" w:rsidRPr="00E070F0" w:rsidRDefault="00B24821" w:rsidP="00A873DB">
      <w:pPr>
        <w:jc w:val="center"/>
        <w:rPr>
          <w:b/>
          <w:sz w:val="28"/>
          <w:szCs w:val="28"/>
        </w:rPr>
      </w:pPr>
    </w:p>
    <w:p w:rsidR="00B24821" w:rsidRPr="00E070F0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0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4821" w:rsidRPr="00E070F0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Pr="00E070F0" w:rsidRDefault="00B24821" w:rsidP="00B248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0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70F0">
        <w:rPr>
          <w:rFonts w:ascii="Times New Roman" w:hAnsi="Times New Roman" w:cs="Times New Roman"/>
          <w:sz w:val="28"/>
          <w:szCs w:val="28"/>
        </w:rPr>
        <w:t>Настоящий Порядок устанавливает поряд</w:t>
      </w:r>
      <w:r w:rsidR="000E5793" w:rsidRPr="00E070F0">
        <w:rPr>
          <w:rFonts w:ascii="Times New Roman" w:hAnsi="Times New Roman" w:cs="Times New Roman"/>
          <w:sz w:val="28"/>
          <w:szCs w:val="28"/>
        </w:rPr>
        <w:t>ок расчета нормативных затрат для</w:t>
      </w:r>
      <w:r w:rsidRPr="00E070F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E5793" w:rsidRPr="00E070F0">
        <w:rPr>
          <w:rFonts w:ascii="Times New Roman" w:hAnsi="Times New Roman" w:cs="Times New Roman"/>
          <w:sz w:val="28"/>
          <w:szCs w:val="28"/>
        </w:rPr>
        <w:t>я</w:t>
      </w:r>
      <w:r w:rsidRPr="00E070F0">
        <w:rPr>
          <w:rFonts w:ascii="Times New Roman" w:hAnsi="Times New Roman" w:cs="Times New Roman"/>
          <w:sz w:val="28"/>
          <w:szCs w:val="28"/>
        </w:rPr>
        <w:t xml:space="preserve"> функций управления по физической культуре и спорту администрации муниципального образования «Город Саратов» </w:t>
      </w:r>
      <w:r w:rsidR="000E5793" w:rsidRPr="00E070F0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учреждения), для которых п</w:t>
      </w:r>
      <w:r w:rsidRPr="00E070F0">
        <w:rPr>
          <w:rFonts w:ascii="Times New Roman" w:hAnsi="Times New Roman" w:cs="Times New Roman"/>
          <w:sz w:val="28"/>
          <w:szCs w:val="28"/>
        </w:rPr>
        <w:t>равилами определения нормативных затрат на обеспечение функций муниципальных органов муниципального образования «Город Саратов»), утвержденными постановлением администрации муниципального образования «Город Саратов» от 30.12.2015 г. № 3835</w:t>
      </w:r>
      <w:r w:rsidR="000E5793" w:rsidRPr="00E070F0">
        <w:rPr>
          <w:rFonts w:ascii="Times New Roman" w:hAnsi="Times New Roman" w:cs="Times New Roman"/>
          <w:sz w:val="28"/>
          <w:szCs w:val="28"/>
        </w:rPr>
        <w:t xml:space="preserve">, </w:t>
      </w:r>
      <w:r w:rsidRPr="00E070F0">
        <w:rPr>
          <w:rFonts w:ascii="Times New Roman" w:hAnsi="Times New Roman" w:cs="Times New Roman"/>
          <w:sz w:val="28"/>
          <w:szCs w:val="28"/>
        </w:rPr>
        <w:t>не установлен порядок расчета.</w:t>
      </w:r>
      <w:proofErr w:type="gramEnd"/>
    </w:p>
    <w:p w:rsidR="000E5793" w:rsidRPr="00E070F0" w:rsidRDefault="000E5793" w:rsidP="00B248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4821" w:rsidRPr="00E070F0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85"/>
      <w:bookmarkEnd w:id="5"/>
      <w:r w:rsidRPr="00E070F0">
        <w:rPr>
          <w:rFonts w:ascii="Times New Roman" w:hAnsi="Times New Roman" w:cs="Times New Roman"/>
          <w:b/>
          <w:sz w:val="28"/>
          <w:szCs w:val="28"/>
        </w:rPr>
        <w:t>2. Затраты на содержание имущества</w:t>
      </w:r>
    </w:p>
    <w:p w:rsidR="00B24821" w:rsidRPr="00E070F0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736"/>
      <w:bookmarkEnd w:id="6"/>
      <w:r w:rsidRPr="00E070F0">
        <w:rPr>
          <w:sz w:val="28"/>
          <w:szCs w:val="28"/>
        </w:rPr>
        <w:t>2.1. Затраты на техническое обслуживание и</w:t>
      </w:r>
      <w:r w:rsidRPr="00330222">
        <w:rPr>
          <w:sz w:val="28"/>
          <w:szCs w:val="28"/>
        </w:rPr>
        <w:t xml:space="preserve"> </w:t>
      </w:r>
      <w:proofErr w:type="spellStart"/>
      <w:r w:rsidRPr="00330222">
        <w:rPr>
          <w:sz w:val="28"/>
          <w:szCs w:val="28"/>
        </w:rPr>
        <w:t>регламентно-профилактический</w:t>
      </w:r>
      <w:proofErr w:type="spellEnd"/>
      <w:r w:rsidRPr="00330222">
        <w:rPr>
          <w:sz w:val="28"/>
          <w:szCs w:val="28"/>
        </w:rPr>
        <w:t xml:space="preserve"> ремонт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proofErr w:type="gramStart"/>
      <w:r w:rsidRPr="00330222">
        <w:rPr>
          <w:sz w:val="28"/>
          <w:szCs w:val="28"/>
        </w:rPr>
        <w:t xml:space="preserve"> (</w:t>
      </w: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) </w:t>
      </w:r>
      <w:proofErr w:type="gramEnd"/>
      <w:r w:rsidRPr="00330222">
        <w:rPr>
          <w:sz w:val="28"/>
          <w:szCs w:val="28"/>
        </w:rPr>
        <w:t>определяются по формуле:</w:t>
      </w:r>
    </w:p>
    <w:p w:rsidR="00E070F0" w:rsidRPr="00330222" w:rsidRDefault="00E070F0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821" w:rsidRDefault="00B24821" w:rsidP="00B2482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1590675" cy="600075"/>
            <wp:effectExtent l="0" t="0" r="0" b="0"/>
            <wp:docPr id="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21" w:rsidRDefault="00B24821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sz w:val="28"/>
          <w:szCs w:val="28"/>
        </w:rPr>
        <w:t>где:</w:t>
      </w:r>
    </w:p>
    <w:p w:rsidR="00E070F0" w:rsidRPr="00330222" w:rsidRDefault="00E070F0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821" w:rsidRPr="00330222" w:rsidRDefault="00B24821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19050" t="0" r="0" b="0"/>
            <wp:docPr id="3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количество </w:t>
      </w:r>
      <w:proofErr w:type="spellStart"/>
      <w:r w:rsidRPr="00330222">
        <w:rPr>
          <w:sz w:val="28"/>
          <w:szCs w:val="28"/>
        </w:rPr>
        <w:t>i-х</w:t>
      </w:r>
      <w:proofErr w:type="spellEnd"/>
      <w:r w:rsidRPr="00330222">
        <w:rPr>
          <w:sz w:val="28"/>
          <w:szCs w:val="28"/>
        </w:rPr>
        <w:t xml:space="preserve">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r w:rsidRPr="00330222">
        <w:rPr>
          <w:sz w:val="28"/>
          <w:szCs w:val="28"/>
        </w:rPr>
        <w:t>;</w:t>
      </w:r>
    </w:p>
    <w:p w:rsidR="00B24821" w:rsidRPr="00C96C41" w:rsidRDefault="00B24821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4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330222">
        <w:rPr>
          <w:sz w:val="28"/>
          <w:szCs w:val="28"/>
        </w:rPr>
        <w:t>регламентно-профилактического</w:t>
      </w:r>
      <w:proofErr w:type="spellEnd"/>
      <w:r w:rsidRPr="00330222">
        <w:rPr>
          <w:sz w:val="28"/>
          <w:szCs w:val="28"/>
        </w:rPr>
        <w:t xml:space="preserve"> ремонта одного  </w:t>
      </w:r>
      <w:proofErr w:type="spellStart"/>
      <w:r w:rsidRPr="00330222">
        <w:rPr>
          <w:sz w:val="28"/>
          <w:szCs w:val="28"/>
        </w:rPr>
        <w:t>i-й</w:t>
      </w:r>
      <w:proofErr w:type="spellEnd"/>
      <w:r w:rsidRPr="00330222">
        <w:rPr>
          <w:sz w:val="28"/>
          <w:szCs w:val="28"/>
        </w:rPr>
        <w:t xml:space="preserve"> кондиционера и </w:t>
      </w:r>
      <w:proofErr w:type="spellStart"/>
      <w:r w:rsidRPr="00330222">
        <w:rPr>
          <w:sz w:val="28"/>
          <w:szCs w:val="28"/>
        </w:rPr>
        <w:t>сплит-системы</w:t>
      </w:r>
      <w:proofErr w:type="spellEnd"/>
      <w:r w:rsidRPr="00330222">
        <w:rPr>
          <w:sz w:val="28"/>
          <w:szCs w:val="28"/>
        </w:rPr>
        <w:t>.</w:t>
      </w:r>
    </w:p>
    <w:p w:rsidR="00B24821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070F0" w:rsidRDefault="00E070F0" w:rsidP="00B2482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070F0" w:rsidRPr="00C96C41" w:rsidRDefault="00E070F0" w:rsidP="00B2482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C1082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к затратам на услуги связи, транспортные услуги, 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rFonts w:ascii="Times New Roman" w:hAnsi="Times New Roman" w:cs="Times New Roman"/>
          <w:b/>
          <w:sz w:val="28"/>
          <w:szCs w:val="28"/>
        </w:rPr>
        <w:t>а также к затратам на коммунальные услуги, аренду помещений и оборудования,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070F0" w:rsidRPr="00DC1082" w:rsidRDefault="00E070F0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24821" w:rsidRDefault="00B24821" w:rsidP="00B248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B51F8">
        <w:rPr>
          <w:rFonts w:ascii="Times New Roman" w:hAnsi="Times New Roman" w:cs="Times New Roman"/>
          <w:sz w:val="28"/>
          <w:szCs w:val="28"/>
        </w:rPr>
        <w:t xml:space="preserve"> Затраты на приобретение периодических печатных изданий</w:t>
      </w:r>
    </w:p>
    <w:p w:rsidR="00B24821" w:rsidRPr="008B51F8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1F8">
        <w:rPr>
          <w:rFonts w:ascii="Times New Roman" w:hAnsi="Times New Roman" w:cs="Times New Roman"/>
          <w:sz w:val="28"/>
          <w:szCs w:val="28"/>
        </w:rPr>
        <w:t xml:space="preserve">Затраты на приобретение периодических печатных изданий определяются по фактическим затратам в отчетном финансовом году в соответствии с нормативами количества (перечня) периодических печатных изданий и справочной литературы </w:t>
      </w:r>
      <w:r w:rsidR="0007252F">
        <w:rPr>
          <w:rFonts w:ascii="Times New Roman" w:hAnsi="Times New Roman"/>
          <w:sz w:val="28"/>
          <w:szCs w:val="28"/>
        </w:rPr>
        <w:t>управления по физической культуре и спорта</w:t>
      </w:r>
      <w:r w:rsidRPr="008B51F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Саратов».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Затраты на оплату услуг по изготовлению удостоверений и вкладышей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5" type="#_x0000_t75" style="width:18pt;height:18pt" o:ole="">
            <v:imagedata r:id="rId14" o:title=""/>
          </v:shape>
          <o:OLEObject Type="Embed" ProgID="Equation.3" ShapeID="_x0000_i1025" DrawAspect="Content" ObjectID="_1589182290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60" w:dyaOrig="680">
          <v:shape id="_x0000_i1026" type="#_x0000_t75" style="width:99pt;height:34.5pt" o:ole="">
            <v:imagedata r:id="rId16" o:title=""/>
          </v:shape>
          <o:OLEObject Type="Embed" ProgID="Equation.3" ShapeID="_x0000_i1026" DrawAspect="Content" ObjectID="_1589182291" r:id="rId1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27" type="#_x0000_t75" style="width:23.25pt;height:18pt" o:ole="">
            <v:imagedata r:id="rId18" o:title=""/>
          </v:shape>
          <o:OLEObject Type="Embed" ProgID="Equation.3" ShapeID="_x0000_i1027" DrawAspect="Content" ObjectID="_1589182292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удостоверений и вкладышей;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28" type="#_x0000_t75" style="width:21.75pt;height:18pt" o:ole="">
            <v:imagedata r:id="rId20" o:title=""/>
          </v:shape>
          <o:OLEObject Type="Embed" ProgID="Equation.3" ShapeID="_x0000_i1028" DrawAspect="Content" ObjectID="_1589182293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удостоверения и вкладыша.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Затраты на оплату услуг по изготовлению квалифицированных сертификатов ключей проверки электронных подписей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29" type="#_x0000_t75" style="width:18pt;height:18pt" o:ole="">
            <v:imagedata r:id="rId22" o:title=""/>
          </v:shape>
          <o:OLEObject Type="Embed" ProgID="Equation.3" ShapeID="_x0000_i1029" DrawAspect="Content" ObjectID="_1589182294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0" type="#_x0000_t75" style="width:97.5pt;height:34.5pt" o:ole="">
            <v:imagedata r:id="rId24" o:title=""/>
          </v:shape>
          <o:OLEObject Type="Embed" ProgID="Equation.3" ShapeID="_x0000_i1030" DrawAspect="Content" ObjectID="_1589182295" r:id="rId25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24821" w:rsidRPr="003D50D6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1" type="#_x0000_t75" style="width:23.25pt;height:18pt" o:ole="">
            <v:imagedata r:id="rId26" o:title=""/>
          </v:shape>
          <o:OLEObject Type="Embed" ProgID="Equation.3" ShapeID="_x0000_i1031" DrawAspect="Content" ObjectID="_1589182296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проверки электронных подписей; 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32" type="#_x0000_t75" style="width:21.75pt;height:18pt" o:ole="">
            <v:imagedata r:id="rId28" o:title=""/>
          </v:shape>
          <o:OLEObject Type="Embed" ProgID="Equation.3" ShapeID="_x0000_i1032" DrawAspect="Content" ObjectID="_1589182297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изготовления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квалифицированного  сертификата  ключа проверки электронной подписи.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3.4. Затраты на оплату услуг по оценке технического состояния оборудования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33" type="#_x0000_t75" style="width:19.5pt;height:18pt" o:ole="">
            <v:imagedata r:id="rId30" o:title=""/>
          </v:shape>
          <o:OLEObject Type="Embed" ProgID="Equation.3" ShapeID="_x0000_i1033" DrawAspect="Content" ObjectID="_1589182298" r:id="rId31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34" type="#_x0000_t75" style="width:104.25pt;height:34.5pt" o:ole="">
            <v:imagedata r:id="rId32" o:title=""/>
          </v:shape>
          <o:OLEObject Type="Embed" ProgID="Equation.3" ShapeID="_x0000_i1034" DrawAspect="Content" ObjectID="_1589182299" r:id="rId33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35" type="#_x0000_t75" style="width:27pt;height:18pt" o:ole="">
            <v:imagedata r:id="rId34" o:title=""/>
          </v:shape>
          <o:OLEObject Type="Embed" ProgID="Equation.3" ShapeID="_x0000_i1035" DrawAspect="Content" ObjectID="_1589182300" r:id="rId35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количество услуг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02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36" type="#_x0000_t75" style="width:23.25pt;height:18pt" o:ole="">
            <v:imagedata r:id="rId36" o:title=""/>
          </v:shape>
          <o:OLEObject Type="Embed" ProgID="Equation.3" ShapeID="_x0000_i1036" DrawAspect="Content" ObjectID="_1589182301" r:id="rId37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цена услуги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 xml:space="preserve">-го вида </w:t>
      </w:r>
      <w:r w:rsidRPr="00330222">
        <w:rPr>
          <w:rFonts w:ascii="Times New Roman" w:hAnsi="Times New Roman" w:cs="Times New Roman"/>
          <w:sz w:val="28"/>
          <w:szCs w:val="28"/>
        </w:rPr>
        <w:lastRenderedPageBreak/>
        <w:t>оборудования.</w:t>
      </w:r>
    </w:p>
    <w:p w:rsidR="00B24821" w:rsidRDefault="00B24821" w:rsidP="00E07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Затраты на оплату услуг по утилизации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37" type="#_x0000_t75" style="width:18pt;height:18pt" o:ole="">
            <v:imagedata r:id="rId38" o:title=""/>
          </v:shape>
          <o:OLEObject Type="Embed" ProgID="Equation.3" ShapeID="_x0000_i1037" DrawAspect="Content" ObjectID="_1589182302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8" type="#_x0000_t75" style="width:97.5pt;height:34.5pt" o:ole="">
            <v:imagedata r:id="rId40" o:title=""/>
          </v:shape>
          <o:OLEObject Type="Embed" ProgID="Equation.3" ShapeID="_x0000_i1038" DrawAspect="Content" ObjectID="_1589182303" r:id="rId41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39" type="#_x0000_t75" style="width:23.25pt;height:18pt" o:ole="">
            <v:imagedata r:id="rId42" o:title=""/>
          </v:shape>
          <o:OLEObject Type="Embed" ProgID="Equation.3" ShapeID="_x0000_i1039" DrawAspect="Content" ObjectID="_1589182304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0" type="#_x0000_t75" style="width:21.75pt;height:18pt" o:ole="">
            <v:imagedata r:id="rId44" o:title=""/>
          </v:shape>
          <o:OLEObject Type="Embed" ProgID="Equation.3" ShapeID="_x0000_i1040" DrawAspect="Content" ObjectID="_1589182305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3.6. Затраты на оплату услуг предоставления спортивных объектов в пользование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8"/>
          <w:sz w:val="28"/>
          <w:szCs w:val="28"/>
        </w:rPr>
        <w:object w:dxaOrig="400" w:dyaOrig="300">
          <v:shape id="_x0000_i1041" type="#_x0000_t75" style="width:20.25pt;height:14.25pt" o:ole="">
            <v:imagedata r:id="rId46" o:title=""/>
          </v:shape>
          <o:OLEObject Type="Embed" ProgID="Equation.3" ShapeID="_x0000_i1041" DrawAspect="Content" ObjectID="_1589182306" r:id="rId47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42" type="#_x0000_t75" style="width:103.5pt;height:34.5pt" o:ole="">
            <v:imagedata r:id="rId48" o:title=""/>
          </v:shape>
          <o:OLEObject Type="Embed" ProgID="Equation.3" ShapeID="_x0000_i1042" DrawAspect="Content" ObjectID="_1589182307" r:id="rId49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3" type="#_x0000_t75" style="width:30pt;height:15pt" o:ole="">
            <v:imagedata r:id="rId50" o:title=""/>
          </v:shape>
          <o:OLEObject Type="Embed" ProgID="Equation.3" ShapeID="_x0000_i1043" DrawAspect="Content" ObjectID="_1589182308" r:id="rId51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планируемое количество часов пользования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-м спортивным объектом;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44" type="#_x0000_t75" style="width:27pt;height:18pt" o:ole="">
            <v:imagedata r:id="rId52" o:title=""/>
          </v:shape>
          <o:OLEObject Type="Embed" ProgID="Equation.3" ShapeID="_x0000_i1044" DrawAspect="Content" ObjectID="_1589182309" r:id="rId53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часовая цена предоставления в пользование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-го спортивного объекта.</w:t>
      </w:r>
    </w:p>
    <w:p w:rsidR="00BD4487" w:rsidRPr="00FB0B06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3.7. Затраты на оплату нотариальных услуг</w:t>
      </w:r>
      <w:proofErr w:type="gramStart"/>
      <w:r w:rsidRPr="00FB0B06">
        <w:rPr>
          <w:rFonts w:ascii="Times New Roman" w:hAnsi="Times New Roman" w:cs="Times New Roman"/>
          <w:sz w:val="28"/>
          <w:szCs w:val="28"/>
        </w:rPr>
        <w:t xml:space="preserve"> (</w:t>
      </w:r>
      <w:r w:rsidRPr="00FB0B06">
        <w:rPr>
          <w:rFonts w:ascii="Times New Roman" w:hAnsi="Times New Roman" w:cs="Times New Roman"/>
          <w:position w:val="-8"/>
          <w:sz w:val="28"/>
          <w:szCs w:val="28"/>
        </w:rPr>
        <w:object w:dxaOrig="340" w:dyaOrig="300">
          <v:shape id="_x0000_i1045" type="#_x0000_t75" style="width:17.25pt;height:14.25pt" o:ole="">
            <v:imagedata r:id="rId54" o:title=""/>
          </v:shape>
          <o:OLEObject Type="Embed" ProgID="Equation.3" ShapeID="_x0000_i1045" DrawAspect="Content" ObjectID="_1589182310" r:id="rId55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B0B0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D4487" w:rsidRPr="00FB0B06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FB0B06">
        <w:rPr>
          <w:rFonts w:ascii="Times New Roman" w:hAnsi="Times New Roman" w:cs="Times New Roman"/>
          <w:position w:val="-28"/>
          <w:sz w:val="28"/>
          <w:szCs w:val="28"/>
        </w:rPr>
        <w:t xml:space="preserve">                                           </w:t>
      </w:r>
      <w:r w:rsidRPr="00FB0B06">
        <w:rPr>
          <w:rFonts w:ascii="Times New Roman" w:hAnsi="Times New Roman" w:cs="Times New Roman"/>
          <w:position w:val="-28"/>
          <w:sz w:val="28"/>
          <w:szCs w:val="28"/>
        </w:rPr>
        <w:object w:dxaOrig="1700" w:dyaOrig="680">
          <v:shape id="_x0000_i1046" type="#_x0000_t75" style="width:84.75pt;height:34.5pt" o:ole="">
            <v:imagedata r:id="rId56" o:title=""/>
          </v:shape>
          <o:OLEObject Type="Embed" ProgID="Equation.3" ShapeID="_x0000_i1046" DrawAspect="Content" ObjectID="_1589182311" r:id="rId57"/>
        </w:object>
      </w:r>
    </w:p>
    <w:p w:rsidR="00BD4487" w:rsidRPr="00FB0B06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где:</w:t>
      </w:r>
    </w:p>
    <w:p w:rsidR="00BD4487" w:rsidRPr="00FB0B06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47" type="#_x0000_t75" style="width:24.75pt;height:18.75pt" o:ole="">
            <v:imagedata r:id="rId58" o:title=""/>
          </v:shape>
          <o:OLEObject Type="Embed" ProgID="Equation.3" ShapeID="_x0000_i1047" DrawAspect="Content" ObjectID="_1589182312" r:id="rId59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количество нотариальных услуг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вида;</w:t>
      </w:r>
    </w:p>
    <w:p w:rsidR="00BD4487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8" type="#_x0000_t75" style="width:21pt;height:18.75pt" o:ole="">
            <v:imagedata r:id="rId60" o:title=""/>
          </v:shape>
          <o:OLEObject Type="Embed" ProgID="Equation.3" ShapeID="_x0000_i1048" DrawAspect="Content" ObjectID="_1589182313" r:id="rId61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цена нотариальной услуги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вида.</w:t>
      </w:r>
    </w:p>
    <w:p w:rsidR="00BD4487" w:rsidRDefault="00BD4487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821" w:rsidRPr="00BE0305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827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0305">
        <w:rPr>
          <w:rFonts w:ascii="Times New Roman" w:hAnsi="Times New Roman" w:cs="Times New Roman"/>
          <w:b/>
          <w:sz w:val="28"/>
          <w:szCs w:val="28"/>
        </w:rPr>
        <w:t>. Затраты на приобретение основных средств</w:t>
      </w:r>
    </w:p>
    <w:p w:rsidR="00B24821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Затраты на приобретение штампов, печатей.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штампов и печатей определяются по фактическим затратам в отчетном финансовом году.</w:t>
      </w:r>
    </w:p>
    <w:p w:rsidR="00B24821" w:rsidRDefault="00B24821" w:rsidP="00B24821">
      <w:pPr>
        <w:ind w:left="4820"/>
        <w:jc w:val="both"/>
        <w:rPr>
          <w:sz w:val="28"/>
          <w:szCs w:val="28"/>
        </w:rPr>
      </w:pPr>
    </w:p>
    <w:p w:rsidR="00B24821" w:rsidRDefault="00B24821" w:rsidP="00B24821">
      <w:pPr>
        <w:ind w:left="4820"/>
        <w:jc w:val="both"/>
        <w:rPr>
          <w:sz w:val="28"/>
          <w:szCs w:val="28"/>
        </w:rPr>
      </w:pPr>
    </w:p>
    <w:p w:rsidR="00B24821" w:rsidRPr="0025069B" w:rsidRDefault="000E5793" w:rsidP="00B2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24821" w:rsidRPr="0025069B">
        <w:rPr>
          <w:b/>
          <w:sz w:val="28"/>
          <w:szCs w:val="28"/>
        </w:rPr>
        <w:t xml:space="preserve">ачальник управления                     </w:t>
      </w:r>
      <w:r w:rsidR="00B2482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Н.В. Кузнецов</w:t>
      </w:r>
    </w:p>
    <w:p w:rsidR="00B24821" w:rsidRDefault="00B24821" w:rsidP="00B24821">
      <w:pPr>
        <w:ind w:left="4820"/>
        <w:jc w:val="both"/>
        <w:rPr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Приложение № 2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133C5" w:rsidRDefault="00F63DC6" w:rsidP="00A873DB">
      <w:pPr>
        <w:jc w:val="center"/>
        <w:rPr>
          <w:rFonts w:cs="Times New Roman"/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 xml:space="preserve">Нормативы количества и (или) цены товаров, работ, услуг, </w:t>
      </w:r>
    </w:p>
    <w:p w:rsidR="00B133C5" w:rsidRDefault="00F63DC6" w:rsidP="00A873DB">
      <w:pPr>
        <w:jc w:val="center"/>
        <w:rPr>
          <w:rFonts w:cs="Times New Roman"/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 xml:space="preserve">в том числе сгруппированные должностям работников и (или) категориям должностей работников для обеспечения функций управления по физической культуре и спорту </w:t>
      </w:r>
    </w:p>
    <w:p w:rsidR="00F63DC6" w:rsidRPr="00B133C5" w:rsidRDefault="00F63DC6" w:rsidP="00A873DB">
      <w:pPr>
        <w:jc w:val="center"/>
        <w:rPr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>администрации муниципального образования «Город Саратов» (включая подведомственные казенные учреждения)</w:t>
      </w:r>
    </w:p>
    <w:p w:rsidR="00F63DC6" w:rsidRDefault="00F63DC6" w:rsidP="00C402D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"/>
      <w:bookmarkStart w:id="9" w:name="Par30"/>
      <w:bookmarkStart w:id="10" w:name="Par383"/>
      <w:bookmarkEnd w:id="8"/>
      <w:bookmarkEnd w:id="9"/>
      <w:bookmarkEnd w:id="10"/>
    </w:p>
    <w:p w:rsidR="007C643F" w:rsidRDefault="00966953" w:rsidP="007C643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Pr="00F157C5">
        <w:rPr>
          <w:sz w:val="28"/>
          <w:szCs w:val="28"/>
          <w:lang w:eastAsia="ru-RU"/>
        </w:rPr>
        <w:t xml:space="preserve">Нормативы </w:t>
      </w:r>
      <w:r>
        <w:rPr>
          <w:sz w:val="28"/>
          <w:szCs w:val="28"/>
          <w:lang w:eastAsia="ru-RU"/>
        </w:rPr>
        <w:t>цены</w:t>
      </w:r>
      <w:r w:rsidRPr="00F157C5">
        <w:rPr>
          <w:sz w:val="28"/>
          <w:szCs w:val="28"/>
          <w:lang w:eastAsia="ru-RU"/>
        </w:rPr>
        <w:t>, используем</w:t>
      </w:r>
      <w:r>
        <w:rPr>
          <w:sz w:val="28"/>
          <w:szCs w:val="28"/>
          <w:lang w:eastAsia="ru-RU"/>
        </w:rPr>
        <w:t>ой</w:t>
      </w:r>
      <w:r w:rsidRPr="00F157C5">
        <w:rPr>
          <w:sz w:val="28"/>
          <w:szCs w:val="28"/>
          <w:lang w:eastAsia="ru-RU"/>
        </w:rPr>
        <w:t xml:space="preserve"> для</w:t>
      </w:r>
      <w:r>
        <w:rPr>
          <w:sz w:val="28"/>
          <w:szCs w:val="28"/>
          <w:lang w:eastAsia="ru-RU"/>
        </w:rPr>
        <w:t xml:space="preserve"> определения</w:t>
      </w:r>
    </w:p>
    <w:p w:rsidR="00966953" w:rsidRDefault="00966953" w:rsidP="007C643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нормативных затрат</w:t>
      </w:r>
      <w:r w:rsidR="007C643F">
        <w:rPr>
          <w:sz w:val="28"/>
          <w:szCs w:val="28"/>
          <w:lang w:eastAsia="ru-RU"/>
        </w:rPr>
        <w:t xml:space="preserve"> </w:t>
      </w:r>
      <w:r w:rsidRPr="00F157C5">
        <w:rPr>
          <w:sz w:val="28"/>
          <w:szCs w:val="28"/>
          <w:lang w:eastAsia="ru-RU"/>
        </w:rPr>
        <w:t>на</w:t>
      </w:r>
      <w:r w:rsidRPr="00234C5F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234C5F">
        <w:rPr>
          <w:sz w:val="28"/>
          <w:szCs w:val="28"/>
          <w:lang w:eastAsia="ru-RU"/>
        </w:rPr>
        <w:t xml:space="preserve"> подвижной связи</w:t>
      </w:r>
      <w:r>
        <w:rPr>
          <w:sz w:val="28"/>
          <w:szCs w:val="28"/>
          <w:lang w:eastAsia="ru-RU"/>
        </w:rPr>
        <w:t>:</w:t>
      </w:r>
    </w:p>
    <w:p w:rsidR="008F7867" w:rsidRDefault="008F7867" w:rsidP="00966953">
      <w:pPr>
        <w:jc w:val="center"/>
        <w:rPr>
          <w:sz w:val="28"/>
          <w:szCs w:val="28"/>
          <w:lang w:eastAsia="ru-RU"/>
        </w:rPr>
      </w:pPr>
    </w:p>
    <w:tbl>
      <w:tblPr>
        <w:tblStyle w:val="af4"/>
        <w:tblW w:w="9037" w:type="dxa"/>
        <w:jc w:val="center"/>
        <w:tblLayout w:type="fixed"/>
        <w:tblLook w:val="04A0"/>
      </w:tblPr>
      <w:tblGrid>
        <w:gridCol w:w="4179"/>
        <w:gridCol w:w="4858"/>
      </w:tblGrid>
      <w:tr w:rsidR="00966953" w:rsidRPr="00BF7A20" w:rsidTr="00112915">
        <w:trPr>
          <w:trHeight w:val="431"/>
          <w:jc w:val="center"/>
        </w:trPr>
        <w:tc>
          <w:tcPr>
            <w:tcW w:w="4179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58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расходы на услуги связи</w:t>
            </w:r>
            <w:r>
              <w:t xml:space="preserve"> </w:t>
            </w:r>
            <w:r w:rsidRPr="00B22CA9">
              <w:rPr>
                <w:rFonts w:ascii="Times New Roman" w:hAnsi="Times New Roman" w:cs="Times New Roman"/>
              </w:rPr>
              <w:t>на каждый абонентский номер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966953" w:rsidRPr="00BF7A20" w:rsidTr="00112915">
        <w:trPr>
          <w:trHeight w:val="621"/>
          <w:jc w:val="center"/>
        </w:trPr>
        <w:tc>
          <w:tcPr>
            <w:tcW w:w="4179" w:type="dxa"/>
          </w:tcPr>
          <w:p w:rsidR="00966953" w:rsidRPr="00FD6062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1 500,00</w:t>
            </w:r>
          </w:p>
        </w:tc>
      </w:tr>
      <w:tr w:rsidR="00966953" w:rsidRPr="00BF7A20" w:rsidTr="00112915">
        <w:trPr>
          <w:trHeight w:val="621"/>
          <w:jc w:val="center"/>
        </w:trPr>
        <w:tc>
          <w:tcPr>
            <w:tcW w:w="4179" w:type="dxa"/>
          </w:tcPr>
          <w:p w:rsidR="00966953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  <w:tr w:rsidR="00966953" w:rsidRPr="00BF7A20" w:rsidTr="00112915">
        <w:trPr>
          <w:trHeight w:val="621"/>
          <w:jc w:val="center"/>
        </w:trPr>
        <w:tc>
          <w:tcPr>
            <w:tcW w:w="4179" w:type="dxa"/>
          </w:tcPr>
          <w:p w:rsidR="00966953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4858" w:type="dxa"/>
          </w:tcPr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</w:tbl>
    <w:p w:rsidR="00F63DC6" w:rsidRDefault="00F63DC6" w:rsidP="00B133C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133C5" w:rsidRDefault="00B133C5" w:rsidP="00B133C5">
      <w:pPr>
        <w:pStyle w:val="ConsPlusNormal"/>
        <w:widowControl/>
        <w:tabs>
          <w:tab w:val="left" w:pos="426"/>
        </w:tabs>
        <w:suppressAutoHyphens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18B">
        <w:rPr>
          <w:rFonts w:ascii="Times New Roman" w:hAnsi="Times New Roman" w:cs="Times New Roman"/>
          <w:sz w:val="28"/>
          <w:szCs w:val="28"/>
        </w:rPr>
        <w:t>Нормативы</w:t>
      </w:r>
      <w:r w:rsidRPr="00F018AD">
        <w:t xml:space="preserve"> </w:t>
      </w:r>
      <w:r w:rsidRPr="0072118B">
        <w:rPr>
          <w:rFonts w:ascii="Times New Roman" w:hAnsi="Times New Roman" w:cs="Times New Roman"/>
          <w:sz w:val="28"/>
          <w:szCs w:val="28"/>
        </w:rPr>
        <w:t xml:space="preserve">цены и количества, используемые для определения нормативных затрат на приобретение принтеров,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18B">
        <w:rPr>
          <w:rFonts w:ascii="Times New Roman" w:hAnsi="Times New Roman" w:cs="Times New Roman"/>
          <w:sz w:val="28"/>
          <w:szCs w:val="28"/>
        </w:rPr>
        <w:t>ногофункциональных устройств и копировальных аппаратов (оргтехники):</w:t>
      </w:r>
    </w:p>
    <w:p w:rsidR="00B133C5" w:rsidRPr="00C402D0" w:rsidRDefault="00B133C5" w:rsidP="00B133C5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W w:w="10361" w:type="dxa"/>
        <w:jc w:val="center"/>
        <w:tblInd w:w="-198" w:type="dxa"/>
        <w:tblLayout w:type="fixed"/>
        <w:tblLook w:val="04A0"/>
      </w:tblPr>
      <w:tblGrid>
        <w:gridCol w:w="580"/>
        <w:gridCol w:w="2617"/>
        <w:gridCol w:w="1275"/>
        <w:gridCol w:w="1495"/>
        <w:gridCol w:w="1482"/>
        <w:gridCol w:w="1495"/>
        <w:gridCol w:w="1417"/>
      </w:tblGrid>
      <w:tr w:rsidR="00B133C5" w:rsidRPr="00BF7A20" w:rsidTr="007C643F">
        <w:trPr>
          <w:trHeight w:val="340"/>
          <w:jc w:val="center"/>
        </w:trPr>
        <w:tc>
          <w:tcPr>
            <w:tcW w:w="580" w:type="dxa"/>
            <w:vMerge w:val="restart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2977" w:type="dxa"/>
            <w:gridSpan w:val="2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912" w:type="dxa"/>
            <w:gridSpan w:val="2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B133C5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17" w:type="dxa"/>
            <w:vMerge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vMerge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95" w:type="dxa"/>
          </w:tcPr>
          <w:p w:rsidR="00B133C5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133C5" w:rsidRPr="00F60D5C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старшие</w:t>
            </w:r>
            <w:r w:rsidRPr="00F60D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133C5"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495" w:type="dxa"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C402D0" w:rsidRPr="00BF7A20" w:rsidTr="007C643F">
        <w:trPr>
          <w:trHeight w:val="20"/>
          <w:jc w:val="center"/>
        </w:trPr>
        <w:tc>
          <w:tcPr>
            <w:tcW w:w="580" w:type="dxa"/>
            <w:vMerge w:val="restart"/>
          </w:tcPr>
          <w:p w:rsidR="00C402D0" w:rsidRPr="00BF7A20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</w:tcPr>
          <w:p w:rsidR="00C402D0" w:rsidRPr="00BF7A20" w:rsidRDefault="00C402D0" w:rsidP="00B133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1275" w:type="dxa"/>
          </w:tcPr>
          <w:p w:rsidR="00C402D0" w:rsidRPr="00A57C32" w:rsidRDefault="00C402D0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C402D0" w:rsidRPr="00E070F0" w:rsidRDefault="002E5A12" w:rsidP="00C402D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C402D0" w:rsidRPr="00E070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12" w:type="dxa"/>
            <w:gridSpan w:val="2"/>
          </w:tcPr>
          <w:p w:rsidR="00C402D0" w:rsidRPr="00E070F0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2D0" w:rsidRPr="00E070F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02D0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C402D0" w:rsidRPr="00BF7A20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C402D0" w:rsidRPr="00BF7A20" w:rsidRDefault="00C402D0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02D0" w:rsidRPr="00A57C32" w:rsidRDefault="00C402D0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495" w:type="dxa"/>
          </w:tcPr>
          <w:p w:rsidR="00C402D0" w:rsidRPr="0072118B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</w:t>
            </w:r>
          </w:p>
        </w:tc>
        <w:tc>
          <w:tcPr>
            <w:tcW w:w="1482" w:type="dxa"/>
          </w:tcPr>
          <w:p w:rsidR="00C402D0" w:rsidRPr="00E070F0" w:rsidRDefault="00C402D0" w:rsidP="00C402D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2-х муниципальных служащих</w:t>
            </w:r>
          </w:p>
        </w:tc>
        <w:tc>
          <w:tcPr>
            <w:tcW w:w="2912" w:type="dxa"/>
            <w:gridSpan w:val="2"/>
          </w:tcPr>
          <w:p w:rsidR="00C402D0" w:rsidRDefault="00C402D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3-х работников из числа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B6C42" w:rsidRPr="00BF7A20" w:rsidTr="007C643F">
        <w:trPr>
          <w:trHeight w:val="20"/>
          <w:jc w:val="center"/>
        </w:trPr>
        <w:tc>
          <w:tcPr>
            <w:tcW w:w="580" w:type="dxa"/>
            <w:vMerge w:val="restart"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vMerge w:val="restart"/>
          </w:tcPr>
          <w:p w:rsidR="004B6C42" w:rsidRPr="00BF7A20" w:rsidRDefault="004B6C42" w:rsidP="004B6C4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275" w:type="dxa"/>
            <w:shd w:val="clear" w:color="auto" w:fill="auto"/>
          </w:tcPr>
          <w:p w:rsidR="004B6C42" w:rsidRPr="00A57C3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4B6C42" w:rsidRPr="00E070F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912" w:type="dxa"/>
            <w:gridSpan w:val="2"/>
            <w:vMerge w:val="restart"/>
          </w:tcPr>
          <w:p w:rsidR="004B6C42" w:rsidRPr="00E070F0" w:rsidRDefault="004B6C42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6C42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6C42" w:rsidRPr="00A57C3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4B6C42" w:rsidRPr="00E070F0" w:rsidRDefault="004B6C42" w:rsidP="004B6C4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10 муниципальных служащих</w:t>
            </w:r>
          </w:p>
        </w:tc>
        <w:tc>
          <w:tcPr>
            <w:tcW w:w="2912" w:type="dxa"/>
            <w:gridSpan w:val="2"/>
            <w:vMerge/>
          </w:tcPr>
          <w:p w:rsidR="004B6C42" w:rsidRPr="00E070F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42" w:rsidRPr="00BF7A20" w:rsidTr="007C643F">
        <w:trPr>
          <w:trHeight w:val="589"/>
          <w:jc w:val="center"/>
        </w:trPr>
        <w:tc>
          <w:tcPr>
            <w:tcW w:w="580" w:type="dxa"/>
            <w:vMerge w:val="restart"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7" w:type="dxa"/>
            <w:vMerge w:val="restart"/>
          </w:tcPr>
          <w:p w:rsidR="004B6C42" w:rsidRPr="00586976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275" w:type="dxa"/>
            <w:shd w:val="clear" w:color="auto" w:fill="auto"/>
          </w:tcPr>
          <w:p w:rsidR="004B6C42" w:rsidRDefault="004B6C42" w:rsidP="004B6C42">
            <w:pPr>
              <w:pStyle w:val="af3"/>
              <w:rPr>
                <w:rFonts w:ascii="Times New Roman" w:hAnsi="Times New Roman" w:cs="Times New Roman"/>
              </w:rPr>
            </w:pPr>
            <w:r w:rsidRPr="004B6C42">
              <w:rPr>
                <w:rFonts w:ascii="Times New Roman" w:hAnsi="Times New Roman" w:cs="Times New Roman"/>
              </w:rPr>
              <w:t>Предельная цена, руб.</w:t>
            </w:r>
          </w:p>
          <w:p w:rsidR="008F7867" w:rsidRPr="004B6C42" w:rsidRDefault="008F7867" w:rsidP="004B6C4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B6C42" w:rsidRPr="00E070F0" w:rsidRDefault="004B6C42" w:rsidP="004B6C4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912" w:type="dxa"/>
            <w:gridSpan w:val="2"/>
          </w:tcPr>
          <w:p w:rsidR="004B6C42" w:rsidRPr="00E070F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B6C42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6C4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  <w:p w:rsidR="004B6C4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</w:p>
          <w:p w:rsidR="004B6C4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</w:p>
          <w:p w:rsidR="004B6C42" w:rsidRPr="00A57C3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B6C42" w:rsidRPr="00E070F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7 муниципальных служащих</w:t>
            </w:r>
          </w:p>
        </w:tc>
        <w:tc>
          <w:tcPr>
            <w:tcW w:w="2912" w:type="dxa"/>
            <w:gridSpan w:val="2"/>
          </w:tcPr>
          <w:p w:rsidR="004B6C42" w:rsidRDefault="004B6C42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7 работников из числа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966953" w:rsidRPr="00BF7A20" w:rsidTr="007C643F">
        <w:trPr>
          <w:trHeight w:val="20"/>
          <w:jc w:val="center"/>
        </w:trPr>
        <w:tc>
          <w:tcPr>
            <w:tcW w:w="580" w:type="dxa"/>
            <w:vMerge w:val="restart"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Merge w:val="restart"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275" w:type="dxa"/>
          </w:tcPr>
          <w:p w:rsidR="00966953" w:rsidRPr="00A57C32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966953" w:rsidRPr="00E070F0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66953" w:rsidRPr="00E070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12" w:type="dxa"/>
            <w:gridSpan w:val="2"/>
            <w:vMerge w:val="restart"/>
          </w:tcPr>
          <w:p w:rsidR="00966953" w:rsidRPr="00E070F0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6953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6953" w:rsidRPr="00A57C32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966953" w:rsidRPr="00E070F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7 муниципальных служащих</w:t>
            </w:r>
          </w:p>
        </w:tc>
        <w:tc>
          <w:tcPr>
            <w:tcW w:w="2912" w:type="dxa"/>
            <w:gridSpan w:val="2"/>
            <w:vMerge/>
          </w:tcPr>
          <w:p w:rsidR="00966953" w:rsidRPr="0072118B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F63DC6" w:rsidRPr="008C6B36" w:rsidRDefault="00F63DC6" w:rsidP="00A873DB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66953" w:rsidRDefault="005E1BAC" w:rsidP="005E1BAC">
      <w:pPr>
        <w:pStyle w:val="ConsPlusNormal"/>
        <w:widowControl/>
        <w:suppressAutoHyphens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6953"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966953" w:rsidRPr="00213919">
        <w:t xml:space="preserve"> </w:t>
      </w:r>
      <w:r w:rsidR="00966953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966953"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носителей информации</w:t>
      </w:r>
      <w:r w:rsidR="00966953">
        <w:rPr>
          <w:rFonts w:ascii="Times New Roman" w:hAnsi="Times New Roman" w:cs="Times New Roman"/>
          <w:sz w:val="28"/>
          <w:szCs w:val="28"/>
        </w:rPr>
        <w:t>:</w:t>
      </w:r>
    </w:p>
    <w:p w:rsidR="00966953" w:rsidRPr="008C6B36" w:rsidRDefault="00966953" w:rsidP="00966953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9897" w:type="dxa"/>
        <w:jc w:val="center"/>
        <w:tblLayout w:type="fixed"/>
        <w:tblLook w:val="04A0"/>
      </w:tblPr>
      <w:tblGrid>
        <w:gridCol w:w="585"/>
        <w:gridCol w:w="2432"/>
        <w:gridCol w:w="1758"/>
        <w:gridCol w:w="1701"/>
        <w:gridCol w:w="1579"/>
        <w:gridCol w:w="1842"/>
      </w:tblGrid>
      <w:tr w:rsidR="00966953" w:rsidRPr="00BF7A20" w:rsidTr="00112915">
        <w:trPr>
          <w:trHeight w:val="720"/>
          <w:jc w:val="center"/>
        </w:trPr>
        <w:tc>
          <w:tcPr>
            <w:tcW w:w="585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0F8F">
              <w:rPr>
                <w:rFonts w:ascii="Times New Roman" w:hAnsi="Times New Roman" w:cs="Times New Roman"/>
              </w:rPr>
              <w:t>/</w:t>
            </w:r>
            <w:proofErr w:type="spell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2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966953" w:rsidRPr="00440F8F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Предельная цена, руб.</w:t>
            </w:r>
          </w:p>
        </w:tc>
        <w:tc>
          <w:tcPr>
            <w:tcW w:w="1579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842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966953" w:rsidRPr="00BF7A20" w:rsidTr="00112915">
        <w:trPr>
          <w:trHeight w:val="299"/>
          <w:jc w:val="center"/>
        </w:trPr>
        <w:tc>
          <w:tcPr>
            <w:tcW w:w="585" w:type="dxa"/>
            <w:vMerge w:val="restart"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</w:tcPr>
          <w:p w:rsidR="00966953" w:rsidRPr="00FD6062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1758" w:type="dxa"/>
          </w:tcPr>
          <w:p w:rsidR="00966953" w:rsidRPr="008E0CC1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953" w:rsidRPr="008E0C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>в расчете на 1 работника в год</w:t>
            </w:r>
          </w:p>
        </w:tc>
        <w:tc>
          <w:tcPr>
            <w:tcW w:w="1701" w:type="dxa"/>
          </w:tcPr>
          <w:p w:rsidR="00966953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79" w:type="dxa"/>
          </w:tcPr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966953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E0C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66953" w:rsidRPr="00BF7A20" w:rsidTr="00112915">
        <w:trPr>
          <w:trHeight w:val="643"/>
          <w:jc w:val="center"/>
        </w:trPr>
        <w:tc>
          <w:tcPr>
            <w:tcW w:w="585" w:type="dxa"/>
            <w:vMerge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966953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966953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1 работника в год</w:t>
            </w:r>
          </w:p>
        </w:tc>
        <w:tc>
          <w:tcPr>
            <w:tcW w:w="1701" w:type="dxa"/>
          </w:tcPr>
          <w:p w:rsidR="00966953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95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79" w:type="dxa"/>
          </w:tcPr>
          <w:p w:rsidR="00966953" w:rsidRPr="00463183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966953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8E0CC1" w:rsidRPr="00BF7A20" w:rsidTr="00112915">
        <w:trPr>
          <w:trHeight w:val="1481"/>
          <w:jc w:val="center"/>
        </w:trPr>
        <w:tc>
          <w:tcPr>
            <w:tcW w:w="585" w:type="dxa"/>
          </w:tcPr>
          <w:p w:rsidR="008E0CC1" w:rsidRPr="00BF7A20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8E0CC1" w:rsidRPr="008E0CC1" w:rsidRDefault="008E0CC1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накопитель, используемый в качестве электронной цифровой подписи</w:t>
            </w:r>
          </w:p>
        </w:tc>
        <w:tc>
          <w:tcPr>
            <w:tcW w:w="1758" w:type="dxa"/>
          </w:tcPr>
          <w:p w:rsidR="008E0CC1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1701" w:type="dxa"/>
          </w:tcPr>
          <w:p w:rsidR="008E0CC1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E1B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79" w:type="dxa"/>
          </w:tcPr>
          <w:p w:rsidR="008E0CC1" w:rsidRPr="00463183" w:rsidRDefault="008E0CC1" w:rsidP="008E0CC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8E0CC1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8E0CC1" w:rsidRPr="00463183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8E0CC1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E0CC1" w:rsidRPr="00463183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5E1BAC" w:rsidRPr="00BF7A20" w:rsidTr="00EE4DA6">
        <w:trPr>
          <w:trHeight w:val="844"/>
          <w:jc w:val="center"/>
        </w:trPr>
        <w:tc>
          <w:tcPr>
            <w:tcW w:w="585" w:type="dxa"/>
          </w:tcPr>
          <w:p w:rsidR="005E1BA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5E1BAC" w:rsidRPr="005E1BA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Жесткие диски</w:t>
            </w:r>
          </w:p>
        </w:tc>
        <w:tc>
          <w:tcPr>
            <w:tcW w:w="1758" w:type="dxa"/>
          </w:tcPr>
          <w:p w:rsidR="005E1BAC" w:rsidRPr="008E0CC1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1701" w:type="dxa"/>
          </w:tcPr>
          <w:p w:rsidR="005E1BA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79" w:type="dxa"/>
          </w:tcPr>
          <w:p w:rsidR="005E1BAC" w:rsidRPr="00463183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5E1BAC" w:rsidRDefault="005E1BAC" w:rsidP="005E1B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5E1BAC" w:rsidRPr="00463183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5E1BA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E1BAC" w:rsidRPr="008C6B36" w:rsidRDefault="005E1BAC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sz w:val="16"/>
          <w:szCs w:val="16"/>
        </w:rPr>
      </w:pPr>
    </w:p>
    <w:p w:rsidR="00A873DB" w:rsidRDefault="005E1BAC" w:rsidP="005E1BAC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73DB"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A873DB">
        <w:rPr>
          <w:rFonts w:ascii="Times New Roman" w:hAnsi="Times New Roman" w:cs="Times New Roman"/>
          <w:sz w:val="28"/>
          <w:szCs w:val="28"/>
        </w:rPr>
        <w:t xml:space="preserve">ы </w:t>
      </w:r>
      <w:r w:rsidR="00A873DB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A873DB"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мебели</w:t>
      </w:r>
      <w:r w:rsidR="00A873DB">
        <w:rPr>
          <w:rFonts w:ascii="Times New Roman" w:hAnsi="Times New Roman" w:cs="Times New Roman"/>
          <w:sz w:val="28"/>
          <w:szCs w:val="28"/>
        </w:rPr>
        <w:t>:</w:t>
      </w:r>
    </w:p>
    <w:p w:rsidR="00A873DB" w:rsidRPr="008C6B36" w:rsidRDefault="00A873DB" w:rsidP="00A873DB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10094" w:type="dxa"/>
        <w:jc w:val="center"/>
        <w:tblInd w:w="231" w:type="dxa"/>
        <w:tblLayout w:type="fixed"/>
        <w:tblLook w:val="04A0"/>
      </w:tblPr>
      <w:tblGrid>
        <w:gridCol w:w="568"/>
        <w:gridCol w:w="2070"/>
        <w:gridCol w:w="1418"/>
        <w:gridCol w:w="1361"/>
        <w:gridCol w:w="992"/>
        <w:gridCol w:w="992"/>
        <w:gridCol w:w="1616"/>
        <w:gridCol w:w="1077"/>
      </w:tblGrid>
      <w:tr w:rsidR="00A873DB" w:rsidRPr="00BF7A20" w:rsidTr="00BD0051">
        <w:trPr>
          <w:trHeight w:val="340"/>
          <w:jc w:val="center"/>
        </w:trPr>
        <w:tc>
          <w:tcPr>
            <w:tcW w:w="568" w:type="dxa"/>
            <w:vMerge w:val="restart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3345" w:type="dxa"/>
            <w:gridSpan w:val="3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693" w:type="dxa"/>
            <w:gridSpan w:val="2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70" w:type="dxa"/>
            <w:vMerge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61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992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992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616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077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Merge w:val="restart"/>
          </w:tcPr>
          <w:p w:rsidR="00A873DB" w:rsidRDefault="00A873DB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  <w:p w:rsidR="005E1BAC" w:rsidRPr="005E1BAC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BA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A873DB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A873DB" w:rsidRPr="0072118B">
              <w:rPr>
                <w:rFonts w:ascii="Times New Roman" w:hAnsi="Times New Roman" w:cs="Times New Roman"/>
                <w:sz w:val="22"/>
                <w:szCs w:val="24"/>
              </w:rPr>
              <w:t xml:space="preserve"> 000,00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A873DB" w:rsidRPr="0072118B" w:rsidRDefault="00BD0051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2E5A1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077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A873DB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="00A873DB"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 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A873DB" w:rsidRPr="0072118B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1077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Merge w:val="restart"/>
          </w:tcPr>
          <w:p w:rsidR="005E1BAC" w:rsidRDefault="00A873DB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BF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A873DB" w:rsidRPr="00BF7A20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A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Предельная цена, руб.</w:t>
            </w:r>
          </w:p>
        </w:tc>
        <w:tc>
          <w:tcPr>
            <w:tcW w:w="1361" w:type="dxa"/>
          </w:tcPr>
          <w:p w:rsidR="00A873DB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A873DB" w:rsidRPr="0072118B">
              <w:rPr>
                <w:rFonts w:ascii="Times New Roman" w:hAnsi="Times New Roman" w:cs="Times New Roman"/>
                <w:sz w:val="22"/>
                <w:szCs w:val="24"/>
              </w:rPr>
              <w:t>0 000,00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A873DB" w:rsidRPr="0072118B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20000,00</w:t>
            </w:r>
          </w:p>
        </w:tc>
        <w:tc>
          <w:tcPr>
            <w:tcW w:w="1077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A873DB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A873DB" w:rsidRPr="0072118B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1077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E1BAC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0" w:type="dxa"/>
            <w:vMerge w:val="restart"/>
          </w:tcPr>
          <w:p w:rsidR="005E1BAC" w:rsidRDefault="005E1BAC" w:rsidP="005E1B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заседаний </w:t>
            </w:r>
          </w:p>
          <w:p w:rsidR="005E1BAC" w:rsidRPr="00BF7A20" w:rsidRDefault="005E1BAC" w:rsidP="005E1B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BAC">
              <w:rPr>
                <w:rFonts w:ascii="Times New Roman" w:hAnsi="Times New Roman" w:cs="Times New Roman"/>
                <w:sz w:val="22"/>
                <w:szCs w:val="22"/>
              </w:rPr>
              <w:t>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72118B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35000,00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E1BAC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72118B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E1BAC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Merge w:val="restart"/>
          </w:tcPr>
          <w:p w:rsidR="005E1BAC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приставка </w:t>
            </w:r>
          </w:p>
          <w:p w:rsidR="005E1BAC" w:rsidRPr="00BF7A20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BAC">
              <w:rPr>
                <w:rFonts w:ascii="Times New Roman" w:hAnsi="Times New Roman" w:cs="Times New Roman"/>
                <w:sz w:val="22"/>
                <w:szCs w:val="22"/>
              </w:rPr>
              <w:t>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72118B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5E1BAC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="005E1BAC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E1BAC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72118B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Merge w:val="restart"/>
            <w:vAlign w:val="center"/>
          </w:tcPr>
          <w:p w:rsid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  <w:p w:rsidR="00112915" w:rsidRPr="00112915" w:rsidRDefault="00112915" w:rsidP="0011291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112915" w:rsidRP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="00112915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495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570"/>
          <w:jc w:val="center"/>
        </w:trPr>
        <w:tc>
          <w:tcPr>
            <w:tcW w:w="568" w:type="dxa"/>
            <w:vMerge w:val="restart"/>
          </w:tcPr>
          <w:p w:rsidR="00112915" w:rsidRPr="00BF7A20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Merge w:val="restart"/>
            <w:vAlign w:val="center"/>
          </w:tcPr>
          <w:p w:rsidR="00112915" w:rsidRPr="00112915" w:rsidRDefault="00112915" w:rsidP="0011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комбинированный </w:t>
            </w:r>
            <w:r w:rsidRPr="00112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="00112915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615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11291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Merge w:val="restart"/>
            <w:vAlign w:val="center"/>
          </w:tcPr>
          <w:p w:rsid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книжный </w:t>
            </w:r>
            <w:r w:rsidRPr="00112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112915" w:rsidRP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="00112915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525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465"/>
          <w:jc w:val="center"/>
        </w:trPr>
        <w:tc>
          <w:tcPr>
            <w:tcW w:w="568" w:type="dxa"/>
            <w:vMerge w:val="restart"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vMerge w:val="restart"/>
            <w:vAlign w:val="center"/>
          </w:tcPr>
          <w:p w:rsidR="00112915" w:rsidRPr="00112915" w:rsidRDefault="00112915" w:rsidP="0011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платяной </w:t>
            </w:r>
            <w:r w:rsidRPr="00112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="00721BAA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420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11291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BF7A20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vMerge w:val="restart"/>
            <w:vAlign w:val="center"/>
          </w:tcPr>
          <w:p w:rsidR="00721BAA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металлический несгораемый или сейф </w:t>
            </w:r>
          </w:p>
          <w:p w:rsidR="00112915" w:rsidRP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</w:t>
            </w: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63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112915" w:rsidRPr="00BF7A20" w:rsidRDefault="00721BAA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Merge w:val="restart"/>
            <w:vAlign w:val="center"/>
          </w:tcPr>
          <w:p w:rsidR="00721BAA" w:rsidRPr="00721BAA" w:rsidRDefault="00112915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в кабинет руководителя </w:t>
            </w:r>
          </w:p>
          <w:p w:rsidR="00112915" w:rsidRPr="00721BAA" w:rsidRDefault="00112915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  <w:p w:rsidR="00112915" w:rsidRPr="00721BAA" w:rsidRDefault="00112915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480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721BAA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 в расчете на кабинет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4E4540" w:rsidRPr="00BF7A20" w:rsidTr="00BD0051">
        <w:trPr>
          <w:trHeight w:val="540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721BA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Merge w:val="restart"/>
            <w:vAlign w:val="center"/>
          </w:tcPr>
          <w:p w:rsidR="004E4540" w:rsidRPr="00721BAA" w:rsidRDefault="004E4540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письменный </w:t>
            </w: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(по </w:t>
            </w: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4E4540" w:rsidRPr="00BF7A20" w:rsidTr="00BD0051">
        <w:trPr>
          <w:trHeight w:val="360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721BAA" w:rsidRDefault="004E4540" w:rsidP="0011291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E070F0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70" w:type="dxa"/>
            <w:vMerge w:val="restart"/>
            <w:vAlign w:val="center"/>
          </w:tcPr>
          <w:p w:rsidR="004E4540" w:rsidRDefault="004E4540" w:rsidP="00721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Соединительный элемент</w:t>
            </w:r>
          </w:p>
          <w:p w:rsidR="004E4540" w:rsidRPr="00721BAA" w:rsidRDefault="004E4540" w:rsidP="00721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3500,00</w:t>
            </w:r>
          </w:p>
        </w:tc>
        <w:tc>
          <w:tcPr>
            <w:tcW w:w="2693" w:type="dxa"/>
            <w:gridSpan w:val="2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3500,00</w:t>
            </w:r>
          </w:p>
        </w:tc>
      </w:tr>
      <w:tr w:rsidR="004E4540" w:rsidRPr="00FB0B06" w:rsidTr="00BD0051">
        <w:trPr>
          <w:trHeight w:val="511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721BAA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FB0B06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BD0051">
        <w:trPr>
          <w:trHeight w:val="600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Merge w:val="restart"/>
            <w:vAlign w:val="center"/>
          </w:tcPr>
          <w:p w:rsidR="004E4540" w:rsidRPr="00721BAA" w:rsidRDefault="004E4540" w:rsidP="00721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компьютерный </w:t>
            </w: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500,00</w:t>
            </w:r>
          </w:p>
        </w:tc>
        <w:tc>
          <w:tcPr>
            <w:tcW w:w="2693" w:type="dxa"/>
            <w:gridSpan w:val="2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500,00</w:t>
            </w:r>
          </w:p>
        </w:tc>
      </w:tr>
      <w:tr w:rsidR="004E4540" w:rsidRPr="00BF7A20" w:rsidTr="00BD0051">
        <w:trPr>
          <w:trHeight w:val="540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721BAA" w:rsidRDefault="004E4540" w:rsidP="00721BA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BD0051">
        <w:trPr>
          <w:trHeight w:val="285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Merge w:val="restart"/>
            <w:vAlign w:val="center"/>
          </w:tcPr>
          <w:p w:rsidR="004E4540" w:rsidRPr="00721BAA" w:rsidRDefault="004E4540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Тумба </w:t>
            </w:r>
            <w:proofErr w:type="spellStart"/>
            <w:r w:rsidRPr="004E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подкатная</w:t>
            </w:r>
            <w:proofErr w:type="spellEnd"/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45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4500,00</w:t>
            </w:r>
          </w:p>
        </w:tc>
        <w:tc>
          <w:tcPr>
            <w:tcW w:w="2693" w:type="dxa"/>
            <w:gridSpan w:val="2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4500,00</w:t>
            </w:r>
          </w:p>
        </w:tc>
      </w:tr>
      <w:tr w:rsidR="004E4540" w:rsidRPr="00BF7A20" w:rsidTr="00BD0051">
        <w:trPr>
          <w:trHeight w:val="229"/>
          <w:jc w:val="center"/>
        </w:trPr>
        <w:tc>
          <w:tcPr>
            <w:tcW w:w="568" w:type="dxa"/>
            <w:vMerge/>
          </w:tcPr>
          <w:p w:rsidR="004E454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4E4540" w:rsidRDefault="004E4540" w:rsidP="0011291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72118B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BD0051">
        <w:trPr>
          <w:trHeight w:val="574"/>
          <w:jc w:val="center"/>
        </w:trPr>
        <w:tc>
          <w:tcPr>
            <w:tcW w:w="568" w:type="dxa"/>
            <w:vMerge w:val="restart"/>
          </w:tcPr>
          <w:p w:rsidR="004E4540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Merge w:val="restart"/>
            <w:vAlign w:val="center"/>
          </w:tcPr>
          <w:p w:rsidR="004E4540" w:rsidRDefault="004E4540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Кресло операторское </w:t>
            </w:r>
          </w:p>
          <w:p w:rsidR="004E4540" w:rsidRPr="004E4540" w:rsidRDefault="004E4540" w:rsidP="00112915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5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8800,00</w:t>
            </w:r>
          </w:p>
        </w:tc>
        <w:tc>
          <w:tcPr>
            <w:tcW w:w="2693" w:type="dxa"/>
            <w:gridSpan w:val="2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8800,00</w:t>
            </w:r>
          </w:p>
        </w:tc>
      </w:tr>
      <w:tr w:rsidR="004E4540" w:rsidRPr="00BF7A20" w:rsidTr="00BD0051">
        <w:trPr>
          <w:trHeight w:val="263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112915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FB0B06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</w:t>
            </w:r>
            <w:r w:rsidRPr="00FB0B06">
              <w:rPr>
                <w:rFonts w:ascii="Times New Roman" w:hAnsi="Times New Roman" w:cs="Times New Roman"/>
                <w:sz w:val="22"/>
                <w:szCs w:val="24"/>
              </w:rPr>
              <w:t xml:space="preserve">бухгалтера, экономиста, </w:t>
            </w:r>
          </w:p>
          <w:p w:rsidR="00FB0B06" w:rsidRPr="0072118B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</w:t>
            </w:r>
            <w:proofErr w:type="gramStart"/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FB0B06">
              <w:rPr>
                <w:rFonts w:ascii="Times New Roman" w:hAnsi="Times New Roman" w:cs="Times New Roman"/>
                <w:sz w:val="22"/>
                <w:szCs w:val="22"/>
              </w:rPr>
              <w:t xml:space="preserve"> методиста</w:t>
            </w:r>
          </w:p>
        </w:tc>
      </w:tr>
      <w:tr w:rsidR="004E454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Merge w:val="restart"/>
            <w:vAlign w:val="center"/>
          </w:tcPr>
          <w:p w:rsidR="004E4540" w:rsidRDefault="004E454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для посетителя </w:t>
            </w:r>
          </w:p>
          <w:p w:rsidR="004E4540" w:rsidRPr="004E4540" w:rsidRDefault="004E4540" w:rsidP="0011291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4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4E4540" w:rsidRPr="00BF7A20" w:rsidTr="00BD0051">
        <w:trPr>
          <w:trHeight w:val="570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112915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72118B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A149C0" w:rsidRPr="00BF7A20" w:rsidTr="00BD0051">
        <w:trPr>
          <w:trHeight w:val="585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Merge w:val="restart"/>
            <w:vAlign w:val="center"/>
          </w:tcPr>
          <w:p w:rsidR="00A149C0" w:rsidRPr="00112915" w:rsidRDefault="00A149C0" w:rsidP="0011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4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</w:tr>
      <w:tr w:rsidR="00A149C0" w:rsidRPr="00BF7A20" w:rsidTr="00BD0051">
        <w:trPr>
          <w:trHeight w:val="504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11291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Merge w:val="restart"/>
            <w:vAlign w:val="center"/>
          </w:tcPr>
          <w:p w:rsidR="00A149C0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документов </w:t>
            </w:r>
          </w:p>
          <w:p w:rsidR="00A149C0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A149C0" w:rsidRPr="00112915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</w:tr>
      <w:tr w:rsidR="00A149C0" w:rsidRPr="00BF7A20" w:rsidTr="00BD0051">
        <w:trPr>
          <w:trHeight w:val="461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2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2 в расчете на 1служебное помещение</w:t>
            </w:r>
          </w:p>
        </w:tc>
      </w:tr>
      <w:tr w:rsidR="00A149C0" w:rsidRPr="00BF7A20" w:rsidTr="00BD0051">
        <w:trPr>
          <w:trHeight w:val="675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Merge w:val="restart"/>
            <w:vAlign w:val="center"/>
          </w:tcPr>
          <w:p w:rsidR="00A149C0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металлический несгораемый или сейф </w:t>
            </w:r>
          </w:p>
          <w:p w:rsidR="00A149C0" w:rsidRPr="00A149C0" w:rsidRDefault="00A149C0" w:rsidP="001129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4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12000,00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12000,00</w:t>
            </w:r>
          </w:p>
        </w:tc>
      </w:tr>
      <w:tr w:rsidR="00A149C0" w:rsidRPr="00BF7A20" w:rsidTr="00BD0051">
        <w:trPr>
          <w:trHeight w:val="750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11291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0" w:type="dxa"/>
            <w:vMerge w:val="restart"/>
            <w:vAlign w:val="center"/>
          </w:tcPr>
          <w:p w:rsidR="00A149C0" w:rsidRPr="00112915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стационарный</w:t>
            </w: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3000,00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3000,00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Merge w:val="restart"/>
            <w:vAlign w:val="center"/>
          </w:tcPr>
          <w:p w:rsidR="00A149C0" w:rsidRPr="00112915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информационный </w:t>
            </w:r>
            <w:r w:rsidRPr="00A149C0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13000,00</w:t>
            </w:r>
          </w:p>
        </w:tc>
        <w:tc>
          <w:tcPr>
            <w:tcW w:w="2693" w:type="dxa"/>
            <w:gridSpan w:val="2"/>
          </w:tcPr>
          <w:p w:rsidR="00A149C0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13000,00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3 в расчете на организацию</w:t>
            </w:r>
          </w:p>
        </w:tc>
        <w:tc>
          <w:tcPr>
            <w:tcW w:w="2693" w:type="dxa"/>
            <w:gridSpan w:val="2"/>
          </w:tcPr>
          <w:p w:rsidR="00A149C0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организацию</w:t>
            </w:r>
          </w:p>
        </w:tc>
      </w:tr>
    </w:tbl>
    <w:p w:rsidR="00E070F0" w:rsidRPr="008C6B36" w:rsidRDefault="00E070F0" w:rsidP="0058165E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58165E" w:rsidRDefault="0058165E" w:rsidP="0058165E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Pr="00213919">
        <w:t xml:space="preserve"> </w:t>
      </w:r>
      <w:r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расходных материалов для</w:t>
      </w:r>
      <w:r w:rsidRPr="00213919">
        <w:t xml:space="preserve"> </w:t>
      </w:r>
      <w:r w:rsidRPr="00213919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типов </w:t>
      </w:r>
      <w:r w:rsidRPr="00477B26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</w:p>
    <w:p w:rsidR="00A149C0" w:rsidRPr="008C6B36" w:rsidRDefault="00A149C0" w:rsidP="00A873DB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2410"/>
        <w:gridCol w:w="1985"/>
        <w:gridCol w:w="1842"/>
      </w:tblGrid>
      <w:tr w:rsidR="0058165E" w:rsidRPr="0034025B" w:rsidTr="008C6B36">
        <w:trPr>
          <w:trHeight w:val="511"/>
        </w:trPr>
        <w:tc>
          <w:tcPr>
            <w:tcW w:w="2411" w:type="dxa"/>
            <w:vMerge w:val="restart"/>
            <w:vAlign w:val="center"/>
          </w:tcPr>
          <w:p w:rsidR="0058165E" w:rsidRPr="005B1CF1" w:rsidRDefault="0058165E" w:rsidP="005B1CF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58165E" w:rsidRPr="005B1CF1" w:rsidRDefault="0058165E" w:rsidP="005B1CF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58165E" w:rsidRPr="005B1CF1" w:rsidRDefault="0058165E" w:rsidP="005B1CF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4395" w:type="dxa"/>
            <w:gridSpan w:val="2"/>
            <w:vAlign w:val="center"/>
          </w:tcPr>
          <w:p w:rsidR="0058165E" w:rsidRPr="005B1CF1" w:rsidRDefault="0058165E" w:rsidP="005B1CF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842" w:type="dxa"/>
            <w:vMerge w:val="restart"/>
            <w:vAlign w:val="center"/>
          </w:tcPr>
          <w:p w:rsidR="0058165E" w:rsidRPr="005B1CF1" w:rsidRDefault="004D39D7" w:rsidP="004D39D7">
            <w:pPr>
              <w:jc w:val="center"/>
              <w:rPr>
                <w:sz w:val="22"/>
                <w:szCs w:val="22"/>
              </w:rPr>
            </w:pPr>
            <w:r w:rsidRPr="0058165E">
              <w:rPr>
                <w:rFonts w:cs="Times New Roman"/>
                <w:sz w:val="24"/>
                <w:szCs w:val="24"/>
              </w:rPr>
              <w:t>Максимальная цена за единицу (руб.)</w:t>
            </w:r>
          </w:p>
        </w:tc>
      </w:tr>
      <w:tr w:rsidR="0058165E" w:rsidRPr="00F26AAD" w:rsidTr="00351EEB">
        <w:trPr>
          <w:trHeight w:val="1020"/>
        </w:trPr>
        <w:tc>
          <w:tcPr>
            <w:tcW w:w="2411" w:type="dxa"/>
            <w:vMerge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165E" w:rsidRPr="005B1CF1" w:rsidRDefault="0058165E" w:rsidP="005B1CF1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1985" w:type="dxa"/>
            <w:vAlign w:val="center"/>
          </w:tcPr>
          <w:p w:rsidR="0058165E" w:rsidRPr="005B1CF1" w:rsidRDefault="0058165E" w:rsidP="005B1CF1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5B1CF1">
              <w:rPr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5B1CF1">
              <w:rPr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1842" w:type="dxa"/>
            <w:vMerge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5B1CF1" w:rsidRDefault="002E5A12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 </w:t>
            </w:r>
            <w:r w:rsidR="0058165E" w:rsidRPr="005B1CF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>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Lazer</w:t>
            </w:r>
            <w:proofErr w:type="spellEnd"/>
            <w:r w:rsidRPr="005B1CF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jet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5B1CF1" w:rsidRDefault="002E5A12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 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>500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HP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5B1CF1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58165E" w:rsidRPr="005B1CF1" w:rsidRDefault="00FB0B06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4 500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многофункционального устройства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5B1CF1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58165E" w:rsidRPr="005B1CF1" w:rsidRDefault="00FB0B0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 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>000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5B1CF1" w:rsidRDefault="00FB0B0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>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39D7" w:rsidRPr="00F26AAD" w:rsidTr="00351EEB">
        <w:tc>
          <w:tcPr>
            <w:tcW w:w="2411" w:type="dxa"/>
            <w:vAlign w:val="center"/>
          </w:tcPr>
          <w:p w:rsidR="004D39D7" w:rsidRPr="005B1CF1" w:rsidRDefault="004D39D7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Рабочая станция</w:t>
            </w:r>
          </w:p>
        </w:tc>
        <w:tc>
          <w:tcPr>
            <w:tcW w:w="1275" w:type="dxa"/>
            <w:vAlign w:val="center"/>
          </w:tcPr>
          <w:p w:rsidR="004D39D7" w:rsidRPr="005B1CF1" w:rsidRDefault="004D39D7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D39D7" w:rsidRPr="005B1CF1" w:rsidRDefault="004D39D7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1985" w:type="dxa"/>
            <w:vAlign w:val="center"/>
          </w:tcPr>
          <w:p w:rsidR="004D39D7" w:rsidRPr="005B1CF1" w:rsidRDefault="004D39D7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предусмотрено</w:t>
            </w:r>
          </w:p>
        </w:tc>
        <w:tc>
          <w:tcPr>
            <w:tcW w:w="1842" w:type="dxa"/>
            <w:vAlign w:val="center"/>
          </w:tcPr>
          <w:p w:rsidR="004D39D7" w:rsidRPr="005B1CF1" w:rsidRDefault="004D39D7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80000,00</w:t>
            </w:r>
          </w:p>
        </w:tc>
      </w:tr>
      <w:tr w:rsidR="004D39D7" w:rsidRPr="00F26AAD" w:rsidTr="00351EEB">
        <w:tc>
          <w:tcPr>
            <w:tcW w:w="2411" w:type="dxa"/>
            <w:vAlign w:val="center"/>
          </w:tcPr>
          <w:p w:rsidR="004D39D7" w:rsidRPr="005B1CF1" w:rsidRDefault="004D39D7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4D39D7" w:rsidRPr="005B1CF1" w:rsidRDefault="004D39D7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D39D7" w:rsidRPr="005B1CF1" w:rsidRDefault="004D39D7" w:rsidP="004D39D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4D39D7" w:rsidRDefault="00E070F0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FB0B06" w:rsidRPr="005B1CF1" w:rsidRDefault="00FB0B06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инструктор</w:t>
            </w:r>
            <w:proofErr w:type="gramStart"/>
            <w:r>
              <w:rPr>
                <w:rFonts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F7867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1842" w:type="dxa"/>
            <w:vAlign w:val="center"/>
          </w:tcPr>
          <w:p w:rsidR="004D39D7" w:rsidRPr="005B1CF1" w:rsidRDefault="00E070F0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30000,00</w:t>
            </w:r>
          </w:p>
        </w:tc>
      </w:tr>
      <w:tr w:rsidR="004D39D7" w:rsidRPr="00F26AAD" w:rsidTr="00351EEB">
        <w:tc>
          <w:tcPr>
            <w:tcW w:w="2411" w:type="dxa"/>
            <w:vAlign w:val="center"/>
          </w:tcPr>
          <w:p w:rsidR="004D39D7" w:rsidRPr="005B1CF1" w:rsidRDefault="004D39D7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Мобильный компьютер (ноутбук)</w:t>
            </w:r>
          </w:p>
        </w:tc>
        <w:tc>
          <w:tcPr>
            <w:tcW w:w="1275" w:type="dxa"/>
            <w:vAlign w:val="center"/>
          </w:tcPr>
          <w:p w:rsidR="004D39D7" w:rsidRPr="005B1CF1" w:rsidRDefault="004D39D7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D39D7" w:rsidRPr="005B1CF1" w:rsidRDefault="00E070F0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служащего, замещающего должность, относящуюся к старшей группе должностей</w:t>
            </w:r>
          </w:p>
        </w:tc>
        <w:tc>
          <w:tcPr>
            <w:tcW w:w="1985" w:type="dxa"/>
            <w:vAlign w:val="center"/>
          </w:tcPr>
          <w:p w:rsidR="004D39D7" w:rsidRPr="005B1CF1" w:rsidRDefault="00E070F0" w:rsidP="00E070F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1 руководителя</w:t>
            </w:r>
          </w:p>
        </w:tc>
        <w:tc>
          <w:tcPr>
            <w:tcW w:w="1842" w:type="dxa"/>
            <w:vAlign w:val="center"/>
          </w:tcPr>
          <w:p w:rsidR="004D39D7" w:rsidRPr="005B1CF1" w:rsidRDefault="00E070F0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25000,00</w:t>
            </w:r>
          </w:p>
        </w:tc>
      </w:tr>
      <w:tr w:rsidR="004D39D7" w:rsidRPr="00F26AAD" w:rsidTr="00351EEB">
        <w:tc>
          <w:tcPr>
            <w:tcW w:w="2411" w:type="dxa"/>
            <w:vAlign w:val="center"/>
          </w:tcPr>
          <w:p w:rsidR="004D39D7" w:rsidRPr="005B1CF1" w:rsidRDefault="004D39D7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Монитор</w:t>
            </w:r>
          </w:p>
        </w:tc>
        <w:tc>
          <w:tcPr>
            <w:tcW w:w="1275" w:type="dxa"/>
            <w:vAlign w:val="center"/>
          </w:tcPr>
          <w:p w:rsidR="004D39D7" w:rsidRPr="005B1CF1" w:rsidRDefault="004D39D7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D39D7" w:rsidRPr="005B1CF1" w:rsidRDefault="00E070F0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4D39D7" w:rsidRDefault="00E070F0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FB0B06" w:rsidRPr="005B1CF1" w:rsidRDefault="007C643F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FB0B06">
              <w:rPr>
                <w:rFonts w:cs="Times New Roman"/>
                <w:sz w:val="22"/>
                <w:szCs w:val="22"/>
              </w:rPr>
              <w:t>нструктора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FB0B06">
              <w:rPr>
                <w:rFonts w:cs="Times New Roman"/>
                <w:sz w:val="22"/>
                <w:szCs w:val="22"/>
              </w:rPr>
              <w:t xml:space="preserve">- </w:t>
            </w:r>
            <w:r w:rsidR="00FB0B06" w:rsidRPr="008F7867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1842" w:type="dxa"/>
            <w:vAlign w:val="center"/>
          </w:tcPr>
          <w:p w:rsidR="004D39D7" w:rsidRPr="005B1CF1" w:rsidRDefault="00FB0B0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070F0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BD0051" w:rsidRPr="00F26AAD" w:rsidTr="00351EEB">
        <w:tc>
          <w:tcPr>
            <w:tcW w:w="2411" w:type="dxa"/>
            <w:vAlign w:val="center"/>
          </w:tcPr>
          <w:p w:rsidR="00BD0051" w:rsidRDefault="00BD0051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Компьютер в сборе (системный блок, монитор, клавиатура, мышь, источник бесперебойного питания</w:t>
            </w:r>
            <w:proofErr w:type="gramEnd"/>
          </w:p>
        </w:tc>
        <w:tc>
          <w:tcPr>
            <w:tcW w:w="1275" w:type="dxa"/>
            <w:vAlign w:val="center"/>
          </w:tcPr>
          <w:p w:rsidR="00BD0051" w:rsidRDefault="00BD0051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BD0051" w:rsidRDefault="00BD0051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BD0051" w:rsidRDefault="00BD0051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FB0B06" w:rsidRDefault="007C643F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FB0B06">
              <w:rPr>
                <w:rFonts w:cs="Times New Roman"/>
                <w:sz w:val="22"/>
                <w:szCs w:val="22"/>
              </w:rPr>
              <w:t>нструктора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FB0B06">
              <w:rPr>
                <w:rFonts w:cs="Times New Roman"/>
                <w:sz w:val="22"/>
                <w:szCs w:val="22"/>
              </w:rPr>
              <w:t xml:space="preserve">- </w:t>
            </w:r>
            <w:r w:rsidR="00FB0B06" w:rsidRPr="008F7867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1842" w:type="dxa"/>
            <w:vAlign w:val="center"/>
          </w:tcPr>
          <w:p w:rsidR="00BD0051" w:rsidRDefault="00BD0051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</w:tbl>
    <w:p w:rsidR="0058165E" w:rsidRPr="008C6B36" w:rsidRDefault="0058165E" w:rsidP="0058165E">
      <w:pPr>
        <w:jc w:val="center"/>
        <w:rPr>
          <w:sz w:val="28"/>
          <w:szCs w:val="28"/>
        </w:rPr>
      </w:pPr>
    </w:p>
    <w:p w:rsidR="0058165E" w:rsidRPr="0058165E" w:rsidRDefault="0058165E" w:rsidP="00581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7B26">
        <w:rPr>
          <w:sz w:val="28"/>
          <w:szCs w:val="28"/>
        </w:rPr>
        <w:t>Нормативы</w:t>
      </w:r>
      <w:r w:rsidRPr="00F95FFC">
        <w:rPr>
          <w:sz w:val="28"/>
          <w:szCs w:val="28"/>
        </w:rPr>
        <w:t xml:space="preserve"> </w:t>
      </w:r>
      <w:r w:rsidRPr="00213919">
        <w:rPr>
          <w:sz w:val="28"/>
          <w:szCs w:val="28"/>
        </w:rPr>
        <w:t>количества и цены</w:t>
      </w:r>
      <w:r w:rsidRPr="00477B26">
        <w:rPr>
          <w:sz w:val="28"/>
          <w:szCs w:val="28"/>
        </w:rPr>
        <w:t>, используемые для определения нормативных затрат на</w:t>
      </w:r>
      <w:r>
        <w:rPr>
          <w:sz w:val="28"/>
          <w:szCs w:val="28"/>
        </w:rPr>
        <w:t xml:space="preserve"> приобретение канцелярских принадлежностей</w:t>
      </w:r>
    </w:p>
    <w:p w:rsidR="0058165E" w:rsidRPr="008C6B36" w:rsidRDefault="0058165E" w:rsidP="0058165E">
      <w:pPr>
        <w:rPr>
          <w:sz w:val="28"/>
          <w:szCs w:val="28"/>
        </w:rPr>
      </w:pPr>
    </w:p>
    <w:tbl>
      <w:tblPr>
        <w:tblOverlap w:val="never"/>
        <w:tblW w:w="5293" w:type="pct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5"/>
        <w:gridCol w:w="1143"/>
        <w:gridCol w:w="992"/>
        <w:gridCol w:w="1844"/>
        <w:gridCol w:w="1550"/>
        <w:gridCol w:w="1274"/>
        <w:gridCol w:w="1266"/>
      </w:tblGrid>
      <w:tr w:rsidR="0058165E" w:rsidRPr="0058165E" w:rsidTr="00256E32">
        <w:trPr>
          <w:trHeight w:hRule="exact" w:val="343"/>
          <w:jc w:val="center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Единица</w:t>
            </w:r>
          </w:p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65E">
              <w:rPr>
                <w:rFonts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Максимальная цена за единицу (руб.)</w:t>
            </w:r>
          </w:p>
        </w:tc>
      </w:tr>
      <w:tr w:rsidR="0058165E" w:rsidRPr="0058165E" w:rsidTr="00256E32">
        <w:trPr>
          <w:trHeight w:hRule="exact" w:val="845"/>
          <w:jc w:val="center"/>
        </w:trPr>
        <w:tc>
          <w:tcPr>
            <w:tcW w:w="9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30"/>
              <w:shd w:val="clear" w:color="auto" w:fill="auto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889" w:rsidRPr="008F7867" w:rsidTr="00256E32">
        <w:trPr>
          <w:trHeight w:hRule="exact" w:val="625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Батарейки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A5889" w:rsidRPr="008F7867" w:rsidTr="00256E32">
        <w:trPr>
          <w:trHeight w:hRule="exact" w:val="563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Книга учета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5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8F7867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Короб архивный на</w:t>
            </w:r>
            <w:r w:rsidR="008F7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завязках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40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5B1CF1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990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Лоток вертикальный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(накопитель для бумаг)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8F78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8F78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FA5889" w:rsidRPr="008F7867" w:rsidTr="00256E32">
        <w:trPr>
          <w:trHeight w:hRule="exact" w:val="70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BD0051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120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30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435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Дырокол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7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Тетрадь 24 листа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720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Тетрадь 48 листов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716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Блок самоклеющийся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8C6B36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расчете на каждого муниципального служащего, замещающего должность, относящуюся к </w:t>
            </w:r>
            <w:r w:rsidRPr="008F786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ведущей, старшей и младшей группе должностей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</w:p>
          <w:p w:rsidR="0058165E" w:rsidRPr="008F7867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spacing w:line="0" w:lineRule="atLeast"/>
              <w:ind w:left="80"/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в расчете на директора, заместителя директора, бухгалтера, экономиста, </w:t>
            </w:r>
            <w:r w:rsidR="00FB0B06">
              <w:rPr>
                <w:rFonts w:cs="Times New Roman"/>
                <w:sz w:val="22"/>
                <w:szCs w:val="22"/>
              </w:rPr>
              <w:t>инструктора</w:t>
            </w:r>
            <w:r w:rsidR="007C643F">
              <w:rPr>
                <w:rFonts w:cs="Times New Roman"/>
                <w:sz w:val="22"/>
                <w:szCs w:val="22"/>
              </w:rPr>
              <w:t xml:space="preserve"> </w:t>
            </w:r>
            <w:r w:rsidR="00FB0B06">
              <w:rPr>
                <w:rFonts w:cs="Times New Roman"/>
                <w:sz w:val="22"/>
                <w:szCs w:val="22"/>
              </w:rPr>
              <w:lastRenderedPageBreak/>
              <w:t xml:space="preserve">- </w:t>
            </w:r>
            <w:r w:rsidRPr="008F7867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4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Блок для записей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78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256E32">
        <w:trPr>
          <w:trHeight w:hRule="exact" w:val="543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4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Бумага </w:t>
            </w:r>
          </w:p>
          <w:p w:rsidR="0058165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офисная 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  <w:r w:rsidR="00FB0B06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  <w:r w:rsidR="00FB0B0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1CF1" w:rsidRPr="008F786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83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Зажимы канцелярские (разного размера)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8F786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714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Клейкие закладки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4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8F786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696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Карандаш простой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706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Клей карандаш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702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Клейкая лента скотч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628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6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Корректор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FA5889" w:rsidRPr="008F7867" w:rsidTr="00256E32">
        <w:trPr>
          <w:trHeight w:hRule="exact" w:val="62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Ластик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64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Линейка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 более 1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699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Маркер-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256E32">
        <w:trPr>
          <w:trHeight w:hRule="exact" w:val="67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0B0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605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конверт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8F786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A5889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79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скоросшиватель Дело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1135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– регистратор (с арочным механизмом)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55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- уголок А</w:t>
            </w:r>
            <w:proofErr w:type="gram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7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Файлы-вкладыши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FA5889" w:rsidRPr="008F7867" w:rsidTr="00256E32">
        <w:trPr>
          <w:trHeight w:hRule="exact" w:val="824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Папка - скоросшиватель </w:t>
            </w:r>
            <w:r w:rsidR="00FB0B06">
              <w:rPr>
                <w:rFonts w:ascii="Times New Roman" w:hAnsi="Times New Roman" w:cs="Times New Roman"/>
                <w:sz w:val="22"/>
                <w:szCs w:val="22"/>
              </w:rPr>
              <w:t>картонный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B0B06" w:rsidRPr="008F7867" w:rsidTr="00256E32">
        <w:trPr>
          <w:trHeight w:hRule="exact" w:val="824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06" w:rsidRPr="008F7867" w:rsidRDefault="00FB0B06" w:rsidP="00FB0B0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Папка - скоросшиватель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пластиковый</w:t>
            </w:r>
          </w:p>
          <w:p w:rsidR="00FB0B06" w:rsidRPr="008F7867" w:rsidRDefault="00FB0B06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8F7867" w:rsidRDefault="00FB0B06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8F7867" w:rsidRDefault="00FB0B06" w:rsidP="0058165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8F7867" w:rsidRDefault="00FB0B06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8F7867" w:rsidRDefault="00FB0B06" w:rsidP="0058165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FA5889" w:rsidRPr="008F7867" w:rsidTr="00256E32">
        <w:trPr>
          <w:trHeight w:hRule="exact" w:val="602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256E32">
        <w:trPr>
          <w:trHeight w:hRule="exact" w:val="56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8F786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673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Степлеры</w:t>
            </w:r>
            <w:proofErr w:type="spellEnd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  (разные)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A5889" w:rsidRPr="008F7867" w:rsidTr="00256E32">
        <w:trPr>
          <w:trHeight w:hRule="exact" w:val="57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Скобы для </w:t>
            </w: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 разные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14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Скрепки канцелярские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19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8F7867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59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8F7867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Штемпельная подушка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256E32">
        <w:trPr>
          <w:trHeight w:hRule="exact" w:val="565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Точилка с контейнером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A5889" w:rsidRPr="008F7867" w:rsidTr="00256E32">
        <w:trPr>
          <w:trHeight w:hRule="exact" w:val="559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256E32">
        <w:trPr>
          <w:trHeight w:hRule="exact" w:val="58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Закладки самоклеящиеся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256E32">
        <w:trPr>
          <w:trHeight w:hRule="exact" w:val="56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Корректирующая ручка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D0051" w:rsidRPr="008F7867" w:rsidTr="00256E32">
        <w:trPr>
          <w:trHeight w:hRule="exact" w:val="80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8F7867" w:rsidRDefault="00BD0051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Грифель для механического карандаша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BD0051" w:rsidRPr="008F7867" w:rsidTr="00256E32">
        <w:trPr>
          <w:trHeight w:hRule="exact" w:val="56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</w:tr>
      <w:tr w:rsidR="00BD0051" w:rsidRPr="008F7867" w:rsidTr="00256E32">
        <w:trPr>
          <w:trHeight w:hRule="exact" w:val="56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Карандаш механический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BD0051" w:rsidRPr="008F7867" w:rsidTr="00256E32">
        <w:trPr>
          <w:trHeight w:hRule="exact" w:val="56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Корзина для бумаги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8508A3" w:rsidRPr="008F7867" w:rsidTr="00256E32">
        <w:trPr>
          <w:trHeight w:hRule="exact" w:val="1012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8A3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Папка регистратор с арочным механизмом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8A3" w:rsidRPr="008F7867" w:rsidRDefault="008508A3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8A3" w:rsidRPr="008F7867" w:rsidRDefault="008508A3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="008508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508A3" w:rsidRPr="008F7867" w:rsidTr="00256E32">
        <w:trPr>
          <w:trHeight w:hRule="exact" w:val="56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8A3" w:rsidRPr="00256E32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6E32">
              <w:rPr>
                <w:rFonts w:ascii="Times New Roman" w:hAnsi="Times New Roman" w:cs="Times New Roman"/>
                <w:sz w:val="22"/>
                <w:szCs w:val="22"/>
              </w:rPr>
              <w:t>Файл с перфорацией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8A3" w:rsidRPr="008F7867" w:rsidRDefault="008508A3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8A3" w:rsidRPr="008F7867" w:rsidRDefault="008508A3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0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508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16057" w:rsidRPr="008F7867" w:rsidTr="00256E32">
        <w:trPr>
          <w:trHeight w:hRule="exact" w:val="56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57" w:rsidRPr="00256E32" w:rsidRDefault="00D16057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6E32">
              <w:rPr>
                <w:rFonts w:ascii="Times New Roman" w:hAnsi="Times New Roman" w:cs="Times New Roman"/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057" w:rsidRDefault="00D16057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057" w:rsidRPr="008F7867" w:rsidRDefault="00D16057" w:rsidP="008508A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более 100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7" w:rsidRPr="008F7867" w:rsidRDefault="00D16057" w:rsidP="00256E3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D16057" w:rsidRPr="008F7867" w:rsidRDefault="00D16057" w:rsidP="00256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7" w:rsidRPr="008F7867" w:rsidRDefault="00D16057" w:rsidP="004E71C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7" w:rsidRPr="008F7867" w:rsidRDefault="00D16057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7" w:rsidRDefault="00256E32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16057" w:rsidRPr="008F7867" w:rsidTr="00256E32">
        <w:trPr>
          <w:trHeight w:hRule="exact" w:val="641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57" w:rsidRPr="00256E32" w:rsidRDefault="00256E32" w:rsidP="00D16057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6E32">
              <w:rPr>
                <w:rFonts w:ascii="Times New Roman" w:hAnsi="Times New Roman" w:cs="Times New Roman"/>
                <w:sz w:val="22"/>
                <w:szCs w:val="22"/>
              </w:rPr>
              <w:t>Удостоверение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057" w:rsidRDefault="00256E32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057" w:rsidRDefault="00256E32" w:rsidP="008508A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более</w:t>
            </w:r>
          </w:p>
          <w:p w:rsidR="00256E32" w:rsidRPr="008F7867" w:rsidRDefault="00256E32" w:rsidP="008508A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7" w:rsidRPr="008F7867" w:rsidRDefault="00D16057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7" w:rsidRPr="008F7867" w:rsidRDefault="00D16057" w:rsidP="008508A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7" w:rsidRPr="008F7867" w:rsidRDefault="00D16057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7" w:rsidRDefault="00256E32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D16057" w:rsidRPr="008F7867" w:rsidTr="00256E32">
        <w:trPr>
          <w:trHeight w:hRule="exact" w:val="567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57" w:rsidRPr="00256E32" w:rsidRDefault="00D16057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6E32">
              <w:rPr>
                <w:rFonts w:ascii="Times New Roman" w:hAnsi="Times New Roman" w:cs="Times New Roman"/>
                <w:sz w:val="22"/>
                <w:szCs w:val="22"/>
              </w:rPr>
              <w:t>Конверт почтовый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057" w:rsidRDefault="00D16057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057" w:rsidRDefault="00D16057" w:rsidP="008508A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более 100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7" w:rsidRPr="008F7867" w:rsidRDefault="00D16057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7" w:rsidRDefault="00D16057" w:rsidP="008508A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57" w:rsidRPr="008F7867" w:rsidRDefault="00D16057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057" w:rsidRDefault="00D16057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</w:tbl>
    <w:p w:rsidR="00BD0051" w:rsidRPr="00256E32" w:rsidRDefault="00BD0051" w:rsidP="008F7867">
      <w:pPr>
        <w:pStyle w:val="af"/>
        <w:suppressAutoHyphens w:val="0"/>
        <w:autoSpaceDN/>
        <w:ind w:left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</w:p>
    <w:p w:rsidR="00A873DB" w:rsidRPr="00256E32" w:rsidRDefault="008F7867" w:rsidP="008F7867">
      <w:pPr>
        <w:pStyle w:val="af"/>
        <w:suppressAutoHyphens w:val="0"/>
        <w:autoSpaceDN/>
        <w:ind w:left="0"/>
        <w:contextualSpacing/>
        <w:jc w:val="center"/>
        <w:textAlignment w:val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E4DA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7. </w:t>
      </w:r>
      <w:r w:rsidR="00A873DB" w:rsidRPr="00EE4DA6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количества (перечень), используемые для определения нормативных затрат на приобретение периодических печатных изданий и справочной литературы:</w:t>
      </w:r>
    </w:p>
    <w:tbl>
      <w:tblPr>
        <w:tblStyle w:val="af4"/>
        <w:tblW w:w="9998" w:type="dxa"/>
        <w:jc w:val="center"/>
        <w:tblLook w:val="04A0"/>
      </w:tblPr>
      <w:tblGrid>
        <w:gridCol w:w="592"/>
        <w:gridCol w:w="3734"/>
        <w:gridCol w:w="2375"/>
        <w:gridCol w:w="1779"/>
        <w:gridCol w:w="1518"/>
      </w:tblGrid>
      <w:tr w:rsidR="00A873DB" w:rsidTr="008F7867">
        <w:trPr>
          <w:trHeight w:val="380"/>
          <w:jc w:val="center"/>
        </w:trPr>
        <w:tc>
          <w:tcPr>
            <w:tcW w:w="592" w:type="dxa"/>
          </w:tcPr>
          <w:p w:rsidR="00A873DB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3DB" w:rsidRPr="00BF7A20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4" w:type="dxa"/>
          </w:tcPr>
          <w:p w:rsidR="00A873DB" w:rsidRPr="00BF7A20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A873DB" w:rsidRPr="00BF7A20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79" w:type="dxa"/>
          </w:tcPr>
          <w:p w:rsidR="00A873DB" w:rsidRPr="008F7867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Группы должностей муниципальной службы </w:t>
            </w:r>
          </w:p>
        </w:tc>
        <w:tc>
          <w:tcPr>
            <w:tcW w:w="1518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E9244E" w:rsidRPr="00BF7A20" w:rsidTr="008508A3">
        <w:trPr>
          <w:trHeight w:val="19"/>
          <w:jc w:val="center"/>
        </w:trPr>
        <w:tc>
          <w:tcPr>
            <w:tcW w:w="592" w:type="dxa"/>
          </w:tcPr>
          <w:p w:rsidR="00E9244E" w:rsidRPr="00BF7A20" w:rsidRDefault="008F7867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E9244E" w:rsidRDefault="008F7867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«Саратовская панорама»</w:t>
            </w:r>
          </w:p>
        </w:tc>
        <w:tc>
          <w:tcPr>
            <w:tcW w:w="2375" w:type="dxa"/>
          </w:tcPr>
          <w:p w:rsidR="00E9244E" w:rsidRPr="008F7867" w:rsidRDefault="00256E32" w:rsidP="008F7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F7867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8F7867"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8F7867"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</w:p>
        </w:tc>
        <w:tc>
          <w:tcPr>
            <w:tcW w:w="1779" w:type="dxa"/>
          </w:tcPr>
          <w:p w:rsidR="00E9244E" w:rsidRPr="00F60D5C" w:rsidRDefault="00EE4DA6" w:rsidP="008F786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E9244E" w:rsidRPr="008F7867" w:rsidRDefault="008F7867" w:rsidP="00EE4DA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</w:p>
        </w:tc>
      </w:tr>
      <w:tr w:rsidR="008508A3" w:rsidRPr="00BF7A20" w:rsidTr="008F7867">
        <w:trPr>
          <w:trHeight w:val="19"/>
          <w:jc w:val="center"/>
        </w:trPr>
        <w:tc>
          <w:tcPr>
            <w:tcW w:w="592" w:type="dxa"/>
          </w:tcPr>
          <w:p w:rsidR="008508A3" w:rsidRDefault="008508A3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8508A3" w:rsidRDefault="008508A3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508A3" w:rsidRPr="008508A3" w:rsidRDefault="008508A3" w:rsidP="008F7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8A3">
              <w:rPr>
                <w:rFonts w:ascii="Times New Roman" w:hAnsi="Times New Roman" w:cs="Times New Roman"/>
                <w:sz w:val="22"/>
                <w:szCs w:val="22"/>
              </w:rPr>
              <w:t>Не более 1 комплекта</w:t>
            </w:r>
          </w:p>
        </w:tc>
        <w:tc>
          <w:tcPr>
            <w:tcW w:w="1779" w:type="dxa"/>
          </w:tcPr>
          <w:p w:rsidR="008508A3" w:rsidRDefault="008508A3" w:rsidP="008508A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в расчете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518" w:type="dxa"/>
          </w:tcPr>
          <w:p w:rsidR="008508A3" w:rsidRPr="00256E32" w:rsidRDefault="008508A3" w:rsidP="00EE4DA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E32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 w:rsidR="004808C6" w:rsidRPr="00256E32"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151284" w:rsidRPr="00EE4DA6" w:rsidRDefault="00151284" w:rsidP="00151284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lastRenderedPageBreak/>
        <w:t>8. Нормативы количества и цены, используемые для определения нормативных затрат на приобретение планшетных компьютеров</w:t>
      </w:r>
    </w:p>
    <w:p w:rsidR="00151284" w:rsidRPr="00256E32" w:rsidRDefault="00151284" w:rsidP="00151284">
      <w:pPr>
        <w:jc w:val="center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2410"/>
        <w:gridCol w:w="2268"/>
        <w:gridCol w:w="1701"/>
      </w:tblGrid>
      <w:tr w:rsidR="00B53847" w:rsidRPr="005B1CF1" w:rsidTr="00256E32">
        <w:trPr>
          <w:trHeight w:val="300"/>
        </w:trPr>
        <w:tc>
          <w:tcPr>
            <w:tcW w:w="2411" w:type="dxa"/>
            <w:vMerge w:val="restart"/>
            <w:vAlign w:val="center"/>
          </w:tcPr>
          <w:p w:rsidR="00B53847" w:rsidRPr="005B1CF1" w:rsidRDefault="00B53847" w:rsidP="00BD005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B53847" w:rsidRPr="005B1CF1" w:rsidRDefault="00B53847" w:rsidP="00BD005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B53847" w:rsidRPr="005B1CF1" w:rsidRDefault="00B53847" w:rsidP="00BD005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4678" w:type="dxa"/>
            <w:gridSpan w:val="2"/>
            <w:vAlign w:val="center"/>
          </w:tcPr>
          <w:p w:rsidR="00B53847" w:rsidRPr="005B1CF1" w:rsidRDefault="00B53847" w:rsidP="00BD005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B53847" w:rsidRPr="005B1CF1" w:rsidRDefault="00B53847" w:rsidP="00B53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цена за единицу</w:t>
            </w:r>
          </w:p>
        </w:tc>
      </w:tr>
      <w:tr w:rsidR="00B53847" w:rsidRPr="005B1CF1" w:rsidTr="004D39D7">
        <w:trPr>
          <w:trHeight w:val="1020"/>
        </w:trPr>
        <w:tc>
          <w:tcPr>
            <w:tcW w:w="2411" w:type="dxa"/>
            <w:vMerge/>
            <w:vAlign w:val="center"/>
          </w:tcPr>
          <w:p w:rsidR="00B53847" w:rsidRPr="005B1CF1" w:rsidRDefault="00B53847" w:rsidP="00BD005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3847" w:rsidRPr="005B1CF1" w:rsidRDefault="00B53847" w:rsidP="00BD0051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3847" w:rsidRPr="005B1CF1" w:rsidRDefault="00B53847" w:rsidP="00BD0051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B53847" w:rsidRPr="005B1CF1" w:rsidRDefault="00B53847" w:rsidP="0084053A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B53847" w:rsidRPr="005B1CF1" w:rsidRDefault="00B53847" w:rsidP="00BD005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53847" w:rsidRPr="005B1CF1" w:rsidTr="004D39D7">
        <w:tc>
          <w:tcPr>
            <w:tcW w:w="2411" w:type="dxa"/>
            <w:vAlign w:val="center"/>
          </w:tcPr>
          <w:p w:rsidR="00B53847" w:rsidRPr="00B53847" w:rsidRDefault="00B53847" w:rsidP="00BD0051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Планшетный компьютер</w:t>
            </w:r>
          </w:p>
        </w:tc>
        <w:tc>
          <w:tcPr>
            <w:tcW w:w="1275" w:type="dxa"/>
            <w:vAlign w:val="center"/>
          </w:tcPr>
          <w:p w:rsidR="00B53847" w:rsidRPr="005B1CF1" w:rsidRDefault="00B53847" w:rsidP="00BD0051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B53847" w:rsidRPr="005B1CF1" w:rsidRDefault="00B53847" w:rsidP="00B538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не боле</w:t>
            </w:r>
            <w:r>
              <w:rPr>
                <w:color w:val="000000" w:themeColor="text1"/>
                <w:sz w:val="22"/>
                <w:szCs w:val="22"/>
              </w:rPr>
              <w:t xml:space="preserve">е 1 в расчете на каждого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B53847" w:rsidRPr="005B1CF1" w:rsidRDefault="00B53847" w:rsidP="00BD005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предусмотрено</w:t>
            </w:r>
          </w:p>
        </w:tc>
        <w:tc>
          <w:tcPr>
            <w:tcW w:w="1701" w:type="dxa"/>
            <w:vAlign w:val="center"/>
          </w:tcPr>
          <w:p w:rsidR="00B53847" w:rsidRPr="00B53847" w:rsidRDefault="004808C6" w:rsidP="00BD005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</w:t>
            </w:r>
            <w:r w:rsidR="00B53847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</w:tbl>
    <w:p w:rsidR="008F7867" w:rsidRPr="00256E32" w:rsidRDefault="008F7867" w:rsidP="00A873DB">
      <w:pPr>
        <w:jc w:val="both"/>
        <w:rPr>
          <w:lang w:eastAsia="ru-RU"/>
        </w:rPr>
      </w:pPr>
    </w:p>
    <w:p w:rsid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>ативных затрат на приобретение абонентских номеров пользовательского оборудования, подключенного к сети подвижной связи</w:t>
      </w:r>
    </w:p>
    <w:p w:rsidR="004808C6" w:rsidRPr="00256E32" w:rsidRDefault="004808C6" w:rsidP="004808C6">
      <w:pPr>
        <w:jc w:val="center"/>
        <w:rPr>
          <w:b/>
          <w:sz w:val="18"/>
          <w:szCs w:val="18"/>
        </w:rPr>
      </w:pPr>
    </w:p>
    <w:tbl>
      <w:tblPr>
        <w:tblStyle w:val="af4"/>
        <w:tblW w:w="10043" w:type="dxa"/>
        <w:jc w:val="center"/>
        <w:tblInd w:w="2432" w:type="dxa"/>
        <w:tblLayout w:type="fixed"/>
        <w:tblLook w:val="04A0"/>
      </w:tblPr>
      <w:tblGrid>
        <w:gridCol w:w="3728"/>
        <w:gridCol w:w="3235"/>
        <w:gridCol w:w="3080"/>
      </w:tblGrid>
      <w:tr w:rsidR="004808C6" w:rsidRPr="00440F8F" w:rsidTr="004808C6">
        <w:trPr>
          <w:trHeight w:val="431"/>
          <w:jc w:val="center"/>
        </w:trPr>
        <w:tc>
          <w:tcPr>
            <w:tcW w:w="3728" w:type="dxa"/>
          </w:tcPr>
          <w:p w:rsidR="004808C6" w:rsidRPr="004808C6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5" w:type="dxa"/>
          </w:tcPr>
          <w:p w:rsidR="004808C6" w:rsidRPr="00440F8F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3080" w:type="dxa"/>
          </w:tcPr>
          <w:p w:rsidR="004808C6" w:rsidRPr="00F60D5C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4808C6" w:rsidRPr="00463183" w:rsidTr="00256E32">
        <w:trPr>
          <w:trHeight w:val="398"/>
          <w:jc w:val="center"/>
        </w:trPr>
        <w:tc>
          <w:tcPr>
            <w:tcW w:w="3728" w:type="dxa"/>
          </w:tcPr>
          <w:p w:rsidR="004808C6" w:rsidRPr="004808C6" w:rsidRDefault="004808C6" w:rsidP="002E5A12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08C6">
              <w:rPr>
                <w:rFonts w:ascii="Times New Roman" w:hAnsi="Times New Roman" w:cs="Times New Roman"/>
                <w:sz w:val="24"/>
                <w:szCs w:val="24"/>
              </w:rPr>
              <w:t>Абонентские номера</w:t>
            </w:r>
          </w:p>
        </w:tc>
        <w:tc>
          <w:tcPr>
            <w:tcW w:w="3235" w:type="dxa"/>
          </w:tcPr>
          <w:p w:rsidR="004808C6" w:rsidRPr="00463183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080" w:type="dxa"/>
          </w:tcPr>
          <w:p w:rsidR="004808C6" w:rsidRPr="008F7867" w:rsidRDefault="004808C6" w:rsidP="004808C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4808C6" w:rsidRPr="004E71CC" w:rsidRDefault="004808C6" w:rsidP="007B3A88">
      <w:pPr>
        <w:pStyle w:val="af0"/>
        <w:spacing w:after="20" w:line="240" w:lineRule="auto"/>
        <w:jc w:val="both"/>
        <w:rPr>
          <w:rFonts w:cs="Times New Roman"/>
          <w:sz w:val="20"/>
          <w:szCs w:val="20"/>
        </w:rPr>
      </w:pPr>
    </w:p>
    <w:p w:rsidR="004808C6" w:rsidRP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 xml:space="preserve">ативных затрат на приобретение </w:t>
      </w:r>
      <w:r>
        <w:rPr>
          <w:b/>
          <w:sz w:val="28"/>
          <w:szCs w:val="28"/>
          <w:lang w:val="en-US"/>
        </w:rPr>
        <w:t>SIM</w:t>
      </w:r>
      <w:r w:rsidRPr="004808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карт</w:t>
      </w:r>
    </w:p>
    <w:p w:rsidR="004808C6" w:rsidRPr="00256E32" w:rsidRDefault="004808C6" w:rsidP="007B3A88">
      <w:pPr>
        <w:pStyle w:val="af0"/>
        <w:spacing w:after="20" w:line="240" w:lineRule="auto"/>
        <w:jc w:val="both"/>
        <w:rPr>
          <w:rFonts w:cs="Times New Roman"/>
          <w:sz w:val="18"/>
          <w:szCs w:val="18"/>
        </w:rPr>
      </w:pPr>
    </w:p>
    <w:tbl>
      <w:tblPr>
        <w:tblStyle w:val="af4"/>
        <w:tblW w:w="9733" w:type="dxa"/>
        <w:jc w:val="center"/>
        <w:tblInd w:w="-35" w:type="dxa"/>
        <w:tblLayout w:type="fixed"/>
        <w:tblLook w:val="04A0"/>
      </w:tblPr>
      <w:tblGrid>
        <w:gridCol w:w="5246"/>
        <w:gridCol w:w="4487"/>
      </w:tblGrid>
      <w:tr w:rsidR="004808C6" w:rsidRPr="00F60D5C" w:rsidTr="009269D3">
        <w:trPr>
          <w:trHeight w:val="431"/>
          <w:jc w:val="center"/>
        </w:trPr>
        <w:tc>
          <w:tcPr>
            <w:tcW w:w="5246" w:type="dxa"/>
          </w:tcPr>
          <w:p w:rsidR="004808C6" w:rsidRPr="00440F8F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 w:rsidRPr="004808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1 работника в год</w:t>
            </w:r>
          </w:p>
        </w:tc>
        <w:tc>
          <w:tcPr>
            <w:tcW w:w="4487" w:type="dxa"/>
          </w:tcPr>
          <w:p w:rsidR="004808C6" w:rsidRPr="00F60D5C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4808C6" w:rsidRPr="008F7867" w:rsidTr="00D65245">
        <w:trPr>
          <w:trHeight w:val="459"/>
          <w:jc w:val="center"/>
        </w:trPr>
        <w:tc>
          <w:tcPr>
            <w:tcW w:w="5246" w:type="dxa"/>
          </w:tcPr>
          <w:p w:rsidR="004808C6" w:rsidRPr="00463183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4487" w:type="dxa"/>
          </w:tcPr>
          <w:p w:rsidR="004808C6" w:rsidRPr="008F7867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4808C6" w:rsidRPr="004E71CC" w:rsidRDefault="004808C6" w:rsidP="007B3A88">
      <w:pPr>
        <w:pStyle w:val="af0"/>
        <w:spacing w:after="20" w:line="240" w:lineRule="auto"/>
        <w:jc w:val="both"/>
        <w:rPr>
          <w:rFonts w:cs="Times New Roman"/>
          <w:sz w:val="20"/>
          <w:szCs w:val="20"/>
        </w:rPr>
      </w:pPr>
    </w:p>
    <w:p w:rsidR="004808C6" w:rsidRP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808C6">
        <w:rPr>
          <w:b/>
          <w:sz w:val="28"/>
          <w:szCs w:val="28"/>
        </w:rPr>
        <w:t>1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>ативных затрат на приобретение средств подвижной связи</w:t>
      </w:r>
    </w:p>
    <w:p w:rsidR="004808C6" w:rsidRPr="004E71CC" w:rsidRDefault="004808C6" w:rsidP="007B3A88">
      <w:pPr>
        <w:pStyle w:val="af0"/>
        <w:spacing w:after="20" w:line="240" w:lineRule="auto"/>
        <w:jc w:val="both"/>
        <w:rPr>
          <w:rFonts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3118"/>
        <w:gridCol w:w="2268"/>
        <w:gridCol w:w="1701"/>
      </w:tblGrid>
      <w:tr w:rsidR="004808C6" w:rsidRPr="005B1CF1" w:rsidTr="00256E32">
        <w:trPr>
          <w:trHeight w:val="443"/>
        </w:trPr>
        <w:tc>
          <w:tcPr>
            <w:tcW w:w="1702" w:type="dxa"/>
            <w:vMerge w:val="restart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5386" w:type="dxa"/>
            <w:gridSpan w:val="2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4808C6" w:rsidRPr="005B1CF1" w:rsidRDefault="004808C6" w:rsidP="002E5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цена за единицу</w:t>
            </w:r>
          </w:p>
        </w:tc>
      </w:tr>
      <w:tr w:rsidR="004808C6" w:rsidRPr="005B1CF1" w:rsidTr="00256E32">
        <w:trPr>
          <w:trHeight w:val="1020"/>
        </w:trPr>
        <w:tc>
          <w:tcPr>
            <w:tcW w:w="1702" w:type="dxa"/>
            <w:vMerge/>
            <w:vAlign w:val="center"/>
          </w:tcPr>
          <w:p w:rsidR="004808C6" w:rsidRPr="005B1CF1" w:rsidRDefault="004808C6" w:rsidP="002E5A1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808C6" w:rsidRPr="005B1CF1" w:rsidRDefault="004808C6" w:rsidP="002E5A12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808C6" w:rsidRPr="005B1CF1" w:rsidRDefault="004808C6" w:rsidP="002E5A12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4808C6" w:rsidRPr="005B1CF1" w:rsidRDefault="004808C6" w:rsidP="002E5A12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4808C6" w:rsidRPr="005B1CF1" w:rsidRDefault="004808C6" w:rsidP="002E5A1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808C6" w:rsidRPr="00B53847" w:rsidTr="00256E32">
        <w:tc>
          <w:tcPr>
            <w:tcW w:w="1702" w:type="dxa"/>
            <w:vAlign w:val="center"/>
          </w:tcPr>
          <w:p w:rsidR="004808C6" w:rsidRPr="00B53847" w:rsidRDefault="004808C6" w:rsidP="00256E3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подвижной связи</w:t>
            </w:r>
          </w:p>
        </w:tc>
        <w:tc>
          <w:tcPr>
            <w:tcW w:w="1276" w:type="dxa"/>
            <w:vAlign w:val="center"/>
          </w:tcPr>
          <w:p w:rsidR="004808C6" w:rsidRPr="005B1CF1" w:rsidRDefault="004808C6" w:rsidP="00256E3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3118" w:type="dxa"/>
            <w:vAlign w:val="center"/>
          </w:tcPr>
          <w:p w:rsidR="004808C6" w:rsidRPr="005B1CF1" w:rsidRDefault="004808C6" w:rsidP="004808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не боле</w:t>
            </w:r>
            <w:r>
              <w:rPr>
                <w:color w:val="000000" w:themeColor="text1"/>
                <w:sz w:val="22"/>
                <w:szCs w:val="22"/>
              </w:rPr>
              <w:t xml:space="preserve">е 1 в расчете на каждого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4808C6" w:rsidRPr="005B1CF1" w:rsidRDefault="009269D3" w:rsidP="002E5A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директора учреждения</w:t>
            </w:r>
          </w:p>
        </w:tc>
        <w:tc>
          <w:tcPr>
            <w:tcW w:w="1701" w:type="dxa"/>
            <w:vAlign w:val="center"/>
          </w:tcPr>
          <w:p w:rsidR="004808C6" w:rsidRPr="00B53847" w:rsidRDefault="009269D3" w:rsidP="004808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  <w:r w:rsidR="004808C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8C6B36" w:rsidRDefault="008C6B36" w:rsidP="007B3A88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8C6B36" w:rsidRDefault="008C6B36" w:rsidP="007B3A88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3B7029" w:rsidRPr="007B3A88" w:rsidRDefault="00E75F83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b/>
          <w:sz w:val="28"/>
          <w:szCs w:val="28"/>
        </w:rPr>
        <w:t>Начальник управления</w:t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="00851869"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 xml:space="preserve">  </w:t>
      </w:r>
      <w:r w:rsidR="00AE0FD5" w:rsidRPr="001D1973">
        <w:rPr>
          <w:rFonts w:cs="Times New Roman"/>
          <w:b/>
          <w:sz w:val="28"/>
          <w:szCs w:val="28"/>
        </w:rPr>
        <w:t xml:space="preserve">    Н.В. Кузнецов</w:t>
      </w:r>
    </w:p>
    <w:sectPr w:rsidR="003B7029" w:rsidRPr="007B3A88" w:rsidSect="00E75F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89" w:rsidRDefault="00CC5A89" w:rsidP="00726D54">
      <w:r>
        <w:separator/>
      </w:r>
    </w:p>
  </w:endnote>
  <w:endnote w:type="continuationSeparator" w:id="0">
    <w:p w:rsidR="00CC5A89" w:rsidRDefault="00CC5A89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89" w:rsidRDefault="00CC5A89" w:rsidP="00726D54">
      <w:r>
        <w:separator/>
      </w:r>
    </w:p>
  </w:footnote>
  <w:footnote w:type="continuationSeparator" w:id="0">
    <w:p w:rsidR="00CC5A89" w:rsidRDefault="00CC5A89" w:rsidP="0072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CC" w:rsidRPr="00E360C3" w:rsidRDefault="004E71CC" w:rsidP="00A873DB">
    <w:pPr>
      <w:pStyle w:val="af5"/>
      <w:jc w:val="right"/>
      <w:rPr>
        <w:rFonts w:ascii="Times New Roman" w:hAnsi="Times New Roman"/>
        <w:sz w:val="28"/>
        <w:szCs w:val="28"/>
      </w:rPr>
    </w:pPr>
    <w:r w:rsidRPr="00E360C3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"/>
      </v:shape>
    </w:pict>
  </w:numPicBullet>
  <w:numPicBullet w:numPicBulletId="1">
    <w:pict>
      <v:shape id="_x0000_i1043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41092"/>
    <w:rsid w:val="00067BCD"/>
    <w:rsid w:val="0007252F"/>
    <w:rsid w:val="0007662D"/>
    <w:rsid w:val="00081541"/>
    <w:rsid w:val="000E2C86"/>
    <w:rsid w:val="000E5793"/>
    <w:rsid w:val="000E6D40"/>
    <w:rsid w:val="000F6C24"/>
    <w:rsid w:val="00111426"/>
    <w:rsid w:val="00112915"/>
    <w:rsid w:val="00151284"/>
    <w:rsid w:val="00155FF6"/>
    <w:rsid w:val="00186D75"/>
    <w:rsid w:val="001D1973"/>
    <w:rsid w:val="00225B1E"/>
    <w:rsid w:val="00256E32"/>
    <w:rsid w:val="0029451D"/>
    <w:rsid w:val="002B211B"/>
    <w:rsid w:val="002E42FC"/>
    <w:rsid w:val="002E5A12"/>
    <w:rsid w:val="0031532B"/>
    <w:rsid w:val="00334A42"/>
    <w:rsid w:val="00351EEB"/>
    <w:rsid w:val="00385365"/>
    <w:rsid w:val="0039690C"/>
    <w:rsid w:val="003B11E8"/>
    <w:rsid w:val="003B7029"/>
    <w:rsid w:val="003C52ED"/>
    <w:rsid w:val="003C5BA5"/>
    <w:rsid w:val="003E0B40"/>
    <w:rsid w:val="00432ACF"/>
    <w:rsid w:val="00440B3E"/>
    <w:rsid w:val="004808C6"/>
    <w:rsid w:val="004B6C42"/>
    <w:rsid w:val="004D39D7"/>
    <w:rsid w:val="004E4540"/>
    <w:rsid w:val="004E71CC"/>
    <w:rsid w:val="005064E9"/>
    <w:rsid w:val="00507CF4"/>
    <w:rsid w:val="00513092"/>
    <w:rsid w:val="0058006A"/>
    <w:rsid w:val="00580FB1"/>
    <w:rsid w:val="0058165E"/>
    <w:rsid w:val="005940C2"/>
    <w:rsid w:val="005B1CF1"/>
    <w:rsid w:val="005B3E61"/>
    <w:rsid w:val="005B58F1"/>
    <w:rsid w:val="005B6385"/>
    <w:rsid w:val="005C6193"/>
    <w:rsid w:val="005D2888"/>
    <w:rsid w:val="005E1BAC"/>
    <w:rsid w:val="0061622B"/>
    <w:rsid w:val="006213F5"/>
    <w:rsid w:val="00646276"/>
    <w:rsid w:val="00653620"/>
    <w:rsid w:val="00661C36"/>
    <w:rsid w:val="00686622"/>
    <w:rsid w:val="006A1E97"/>
    <w:rsid w:val="006F2828"/>
    <w:rsid w:val="007134CF"/>
    <w:rsid w:val="00721BAA"/>
    <w:rsid w:val="007223C1"/>
    <w:rsid w:val="00726D54"/>
    <w:rsid w:val="007549D2"/>
    <w:rsid w:val="007B0755"/>
    <w:rsid w:val="007B3A88"/>
    <w:rsid w:val="007B466C"/>
    <w:rsid w:val="007C643F"/>
    <w:rsid w:val="007D2415"/>
    <w:rsid w:val="0080599A"/>
    <w:rsid w:val="008353DE"/>
    <w:rsid w:val="0084053A"/>
    <w:rsid w:val="008508A3"/>
    <w:rsid w:val="00851869"/>
    <w:rsid w:val="0086086E"/>
    <w:rsid w:val="00876BEE"/>
    <w:rsid w:val="008855DE"/>
    <w:rsid w:val="008A2FFC"/>
    <w:rsid w:val="008B590B"/>
    <w:rsid w:val="008C6B36"/>
    <w:rsid w:val="008D6BAE"/>
    <w:rsid w:val="008E0CC1"/>
    <w:rsid w:val="008E1627"/>
    <w:rsid w:val="008F1FEF"/>
    <w:rsid w:val="008F7867"/>
    <w:rsid w:val="00922E33"/>
    <w:rsid w:val="00924B97"/>
    <w:rsid w:val="009269D3"/>
    <w:rsid w:val="00931608"/>
    <w:rsid w:val="009320F2"/>
    <w:rsid w:val="00966953"/>
    <w:rsid w:val="009862A3"/>
    <w:rsid w:val="009A0743"/>
    <w:rsid w:val="009B1918"/>
    <w:rsid w:val="009D5A85"/>
    <w:rsid w:val="00A0714F"/>
    <w:rsid w:val="00A149C0"/>
    <w:rsid w:val="00A55E82"/>
    <w:rsid w:val="00A642E0"/>
    <w:rsid w:val="00A873DB"/>
    <w:rsid w:val="00AC033E"/>
    <w:rsid w:val="00AE0FD5"/>
    <w:rsid w:val="00AF4F68"/>
    <w:rsid w:val="00B133C5"/>
    <w:rsid w:val="00B219FA"/>
    <w:rsid w:val="00B24821"/>
    <w:rsid w:val="00B31AE0"/>
    <w:rsid w:val="00B43B81"/>
    <w:rsid w:val="00B45B3D"/>
    <w:rsid w:val="00B53847"/>
    <w:rsid w:val="00B73E40"/>
    <w:rsid w:val="00BA0A15"/>
    <w:rsid w:val="00BB4E14"/>
    <w:rsid w:val="00BD0051"/>
    <w:rsid w:val="00BD4487"/>
    <w:rsid w:val="00C02245"/>
    <w:rsid w:val="00C22EB4"/>
    <w:rsid w:val="00C402D0"/>
    <w:rsid w:val="00C550B9"/>
    <w:rsid w:val="00C55C50"/>
    <w:rsid w:val="00C61D97"/>
    <w:rsid w:val="00C918D4"/>
    <w:rsid w:val="00CB2FB6"/>
    <w:rsid w:val="00CC5553"/>
    <w:rsid w:val="00CC5A89"/>
    <w:rsid w:val="00D026DA"/>
    <w:rsid w:val="00D16057"/>
    <w:rsid w:val="00D272D9"/>
    <w:rsid w:val="00D32C5A"/>
    <w:rsid w:val="00D511AB"/>
    <w:rsid w:val="00D6044F"/>
    <w:rsid w:val="00D65245"/>
    <w:rsid w:val="00D768B8"/>
    <w:rsid w:val="00D96B0F"/>
    <w:rsid w:val="00DC06CD"/>
    <w:rsid w:val="00DE53D5"/>
    <w:rsid w:val="00DE5955"/>
    <w:rsid w:val="00DF3E45"/>
    <w:rsid w:val="00E070F0"/>
    <w:rsid w:val="00E1389B"/>
    <w:rsid w:val="00E250F9"/>
    <w:rsid w:val="00E328CD"/>
    <w:rsid w:val="00E360C3"/>
    <w:rsid w:val="00E36E79"/>
    <w:rsid w:val="00E57E68"/>
    <w:rsid w:val="00E6739D"/>
    <w:rsid w:val="00E7469B"/>
    <w:rsid w:val="00E75F83"/>
    <w:rsid w:val="00E9244E"/>
    <w:rsid w:val="00E924CE"/>
    <w:rsid w:val="00E95F61"/>
    <w:rsid w:val="00EA3321"/>
    <w:rsid w:val="00ED0D65"/>
    <w:rsid w:val="00ED52D7"/>
    <w:rsid w:val="00ED7751"/>
    <w:rsid w:val="00EE4DA6"/>
    <w:rsid w:val="00F0292F"/>
    <w:rsid w:val="00F15E52"/>
    <w:rsid w:val="00F4146F"/>
    <w:rsid w:val="00F51989"/>
    <w:rsid w:val="00F63DC6"/>
    <w:rsid w:val="00F7791A"/>
    <w:rsid w:val="00F841A6"/>
    <w:rsid w:val="00FA5889"/>
    <w:rsid w:val="00FB0B06"/>
    <w:rsid w:val="00FC1347"/>
    <w:rsid w:val="00FE2897"/>
    <w:rsid w:val="00FE7E2D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4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28</cp:revision>
  <cp:lastPrinted>2018-05-30T06:45:00Z</cp:lastPrinted>
  <dcterms:created xsi:type="dcterms:W3CDTF">2018-04-16T05:40:00Z</dcterms:created>
  <dcterms:modified xsi:type="dcterms:W3CDTF">2018-05-30T06:45:00Z</dcterms:modified>
</cp:coreProperties>
</file>